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BF48" w14:textId="1CD12520" w:rsidR="00CC5ADF" w:rsidRPr="0003060E" w:rsidRDefault="00D65CFD" w:rsidP="00E76D41">
      <w:pPr>
        <w:spacing w:before="120"/>
        <w:jc w:val="center"/>
        <w:rPr>
          <w:rFonts w:asciiTheme="minorHAnsi" w:hAnsiTheme="minorHAnsi" w:cstheme="minorHAnsi"/>
          <w:b/>
          <w:bCs/>
        </w:rPr>
      </w:pPr>
      <w:r w:rsidRPr="0003060E">
        <w:rPr>
          <w:rFonts w:asciiTheme="minorHAnsi" w:hAnsiTheme="minorHAnsi" w:cstheme="minorHAnsi"/>
          <w:b/>
          <w:bCs/>
        </w:rPr>
        <w:t>“Cross-Fertilisation in International Commercial Arbitration, Investor-State Arbitration and Mediation: The Good, the Bad and the Ugly?”</w:t>
      </w:r>
      <w:r w:rsidR="00B17576" w:rsidRPr="0003060E">
        <w:rPr>
          <w:rStyle w:val="FootnoteReference"/>
          <w:rFonts w:asciiTheme="minorHAnsi" w:hAnsiTheme="minorHAnsi" w:cstheme="minorHAnsi"/>
          <w:b/>
          <w:bCs/>
        </w:rPr>
        <w:footnoteReference w:customMarkFollows="1" w:id="1"/>
        <w:t>#</w:t>
      </w:r>
    </w:p>
    <w:p w14:paraId="42853712" w14:textId="575E407F" w:rsidR="0075748E" w:rsidRPr="0003060E" w:rsidRDefault="0075748E" w:rsidP="00E76D41">
      <w:pPr>
        <w:spacing w:before="120"/>
        <w:jc w:val="center"/>
        <w:rPr>
          <w:rFonts w:asciiTheme="minorHAnsi" w:hAnsiTheme="minorHAnsi" w:cstheme="minorHAnsi"/>
          <w:b/>
          <w:bCs/>
        </w:rPr>
      </w:pPr>
      <w:r w:rsidRPr="0003060E">
        <w:rPr>
          <w:rFonts w:asciiTheme="minorHAnsi" w:hAnsiTheme="minorHAnsi" w:cstheme="minorHAnsi"/>
          <w:b/>
          <w:bCs/>
        </w:rPr>
        <w:t>Luke Nottage</w:t>
      </w:r>
      <w:r w:rsidRPr="0003060E">
        <w:rPr>
          <w:rStyle w:val="FootnoteReference"/>
          <w:rFonts w:asciiTheme="minorHAnsi" w:hAnsiTheme="minorHAnsi" w:cstheme="minorHAnsi"/>
          <w:b/>
          <w:bCs/>
        </w:rPr>
        <w:footnoteReference w:customMarkFollows="1" w:id="2"/>
        <w:t>*</w:t>
      </w:r>
    </w:p>
    <w:p w14:paraId="319BE1AD" w14:textId="2600886E" w:rsidR="0075748E" w:rsidRPr="0003060E" w:rsidRDefault="0075748E" w:rsidP="00E76D41">
      <w:pPr>
        <w:spacing w:before="120"/>
        <w:jc w:val="center"/>
        <w:rPr>
          <w:rFonts w:asciiTheme="minorHAnsi" w:hAnsiTheme="minorHAnsi" w:cstheme="minorHAnsi"/>
          <w:i/>
          <w:iCs/>
        </w:rPr>
      </w:pPr>
      <w:r w:rsidRPr="0003060E">
        <w:rPr>
          <w:rFonts w:asciiTheme="minorHAnsi" w:hAnsiTheme="minorHAnsi" w:cstheme="minorHAnsi"/>
          <w:i/>
          <w:iCs/>
        </w:rPr>
        <w:t>6</w:t>
      </w:r>
      <w:r w:rsidRPr="0003060E">
        <w:rPr>
          <w:rFonts w:asciiTheme="minorHAnsi" w:hAnsiTheme="minorHAnsi" w:cstheme="minorHAnsi"/>
          <w:i/>
          <w:iCs/>
          <w:vertAlign w:val="superscript"/>
        </w:rPr>
        <w:t>th</w:t>
      </w:r>
      <w:r w:rsidRPr="0003060E">
        <w:rPr>
          <w:rFonts w:asciiTheme="minorHAnsi" w:hAnsiTheme="minorHAnsi" w:cstheme="minorHAnsi"/>
          <w:i/>
          <w:iCs/>
        </w:rPr>
        <w:t xml:space="preserve"> ADR Address of the Supreme Court of New South Wales, </w:t>
      </w:r>
      <w:r w:rsidR="0011094A" w:rsidRPr="0003060E">
        <w:rPr>
          <w:rFonts w:asciiTheme="minorHAnsi" w:hAnsiTheme="minorHAnsi" w:cstheme="minorHAnsi"/>
          <w:i/>
          <w:iCs/>
        </w:rPr>
        <w:t>2 November</w:t>
      </w:r>
      <w:r w:rsidRPr="0003060E">
        <w:rPr>
          <w:rFonts w:asciiTheme="minorHAnsi" w:hAnsiTheme="minorHAnsi" w:cstheme="minorHAnsi"/>
          <w:i/>
          <w:iCs/>
        </w:rPr>
        <w:t xml:space="preserve"> 2023</w:t>
      </w:r>
    </w:p>
    <w:p w14:paraId="459C75E7" w14:textId="17098C22" w:rsidR="00D65CFD" w:rsidRPr="0003060E" w:rsidRDefault="00D65CFD" w:rsidP="00E76D41">
      <w:pPr>
        <w:pStyle w:val="ListParagraph"/>
        <w:numPr>
          <w:ilvl w:val="0"/>
          <w:numId w:val="1"/>
        </w:numPr>
        <w:spacing w:before="120"/>
        <w:jc w:val="both"/>
        <w:rPr>
          <w:rFonts w:cstheme="minorHAnsi"/>
        </w:rPr>
      </w:pPr>
      <w:r w:rsidRPr="0003060E">
        <w:rPr>
          <w:rFonts w:cstheme="minorHAnsi"/>
        </w:rPr>
        <w:t>Introduction</w:t>
      </w:r>
    </w:p>
    <w:p w14:paraId="6451B311" w14:textId="06D43404" w:rsidR="00D65CFD" w:rsidRPr="0003060E" w:rsidRDefault="00D65CFD" w:rsidP="00E76D41">
      <w:pPr>
        <w:pStyle w:val="ListParagraph"/>
        <w:numPr>
          <w:ilvl w:val="0"/>
          <w:numId w:val="1"/>
        </w:numPr>
        <w:spacing w:before="120"/>
        <w:jc w:val="both"/>
        <w:rPr>
          <w:rFonts w:cstheme="minorHAnsi"/>
        </w:rPr>
      </w:pPr>
      <w:r w:rsidRPr="0003060E">
        <w:rPr>
          <w:rFonts w:cstheme="minorHAnsi"/>
        </w:rPr>
        <w:t>The Explosion in International Arbitration</w:t>
      </w:r>
    </w:p>
    <w:p w14:paraId="6964D7D3" w14:textId="15DC428A" w:rsidR="00D65CFD" w:rsidRPr="0003060E" w:rsidRDefault="00D65CFD" w:rsidP="00E76D41">
      <w:pPr>
        <w:pStyle w:val="ListParagraph"/>
        <w:numPr>
          <w:ilvl w:val="0"/>
          <w:numId w:val="1"/>
        </w:numPr>
        <w:spacing w:before="120"/>
        <w:jc w:val="both"/>
        <w:rPr>
          <w:rFonts w:cstheme="minorHAnsi"/>
        </w:rPr>
      </w:pPr>
      <w:r w:rsidRPr="0003060E">
        <w:rPr>
          <w:rFonts w:cstheme="minorHAnsi"/>
        </w:rPr>
        <w:t xml:space="preserve">The Resurgence of Costs and Delays </w:t>
      </w:r>
    </w:p>
    <w:p w14:paraId="4B96CC44" w14:textId="165524B8" w:rsidR="0075748E" w:rsidRPr="0003060E" w:rsidRDefault="0075748E" w:rsidP="00E76D41">
      <w:pPr>
        <w:pStyle w:val="ListParagraph"/>
        <w:numPr>
          <w:ilvl w:val="0"/>
          <w:numId w:val="1"/>
        </w:numPr>
        <w:spacing w:before="120"/>
        <w:jc w:val="both"/>
        <w:rPr>
          <w:rFonts w:cstheme="minorHAnsi"/>
        </w:rPr>
      </w:pPr>
      <w:r w:rsidRPr="0003060E">
        <w:rPr>
          <w:rFonts w:cstheme="minorHAnsi"/>
        </w:rPr>
        <w:t>The Fall of Arb-Med</w:t>
      </w:r>
    </w:p>
    <w:p w14:paraId="508BD240" w14:textId="5B6E5D04" w:rsidR="00D65CFD" w:rsidRPr="0003060E" w:rsidRDefault="00D65CFD" w:rsidP="00E76D41">
      <w:pPr>
        <w:pStyle w:val="ListParagraph"/>
        <w:numPr>
          <w:ilvl w:val="0"/>
          <w:numId w:val="1"/>
        </w:numPr>
        <w:spacing w:before="120"/>
        <w:jc w:val="both"/>
        <w:rPr>
          <w:rFonts w:cstheme="minorHAnsi"/>
        </w:rPr>
      </w:pPr>
      <w:r w:rsidRPr="0003060E">
        <w:rPr>
          <w:rFonts w:cstheme="minorHAnsi"/>
        </w:rPr>
        <w:t xml:space="preserve">The Rise of Multi-tiered Dispute Resolution Clauses </w:t>
      </w:r>
    </w:p>
    <w:p w14:paraId="49E46A3B" w14:textId="53E03497" w:rsidR="00D65CFD" w:rsidRPr="0003060E" w:rsidRDefault="00D65CFD" w:rsidP="00E76D41">
      <w:pPr>
        <w:pStyle w:val="ListParagraph"/>
        <w:numPr>
          <w:ilvl w:val="0"/>
          <w:numId w:val="1"/>
        </w:numPr>
        <w:spacing w:before="120"/>
        <w:jc w:val="both"/>
        <w:rPr>
          <w:rFonts w:cstheme="minorHAnsi"/>
        </w:rPr>
      </w:pPr>
      <w:r w:rsidRPr="0003060E">
        <w:rPr>
          <w:rFonts w:cstheme="minorHAnsi"/>
          <w:lang w:val="en-US"/>
        </w:rPr>
        <w:t>Conclusions</w:t>
      </w:r>
    </w:p>
    <w:p w14:paraId="55A9C9D6" w14:textId="3EEF135E" w:rsidR="00762ABC" w:rsidRPr="0003060E" w:rsidRDefault="00762ABC" w:rsidP="00762ABC">
      <w:pPr>
        <w:spacing w:before="120"/>
        <w:jc w:val="both"/>
        <w:rPr>
          <w:rFonts w:asciiTheme="minorHAnsi" w:hAnsiTheme="minorHAnsi" w:cstheme="minorHAnsi"/>
        </w:rPr>
      </w:pPr>
      <w:r w:rsidRPr="0003060E">
        <w:rPr>
          <w:rFonts w:asciiTheme="minorHAnsi" w:hAnsiTheme="minorHAnsi" w:cstheme="minorHAnsi"/>
          <w:b/>
          <w:bCs/>
        </w:rPr>
        <w:t>Abstract:</w:t>
      </w:r>
      <w:r w:rsidRPr="0003060E">
        <w:rPr>
          <w:rFonts w:asciiTheme="minorHAnsi" w:hAnsiTheme="minorHAnsi" w:cstheme="minorHAnsi"/>
        </w:rPr>
        <w:t xml:space="preserve"> International commercial arbitration (ICA) has proliferated worldwide, often cross-fertilising with investor-state arbitration (ISA). Yet costs and delays are resurgent. Little cross-fertilisation with international mediation has occurred in the form of Arb-Med (arbitrators themselves acting as mediators). </w:t>
      </w:r>
      <w:proofErr w:type="gramStart"/>
      <w:r w:rsidRPr="0003060E">
        <w:rPr>
          <w:rFonts w:asciiTheme="minorHAnsi" w:hAnsiTheme="minorHAnsi" w:cstheme="minorHAnsi"/>
        </w:rPr>
        <w:t>Instead</w:t>
      </w:r>
      <w:proofErr w:type="gramEnd"/>
      <w:r w:rsidRPr="0003060E">
        <w:rPr>
          <w:rFonts w:asciiTheme="minorHAnsi" w:hAnsiTheme="minorHAnsi" w:cstheme="minorHAnsi"/>
        </w:rPr>
        <w:t xml:space="preserve"> there has been growth in Med-Arb (separate mediators before arbitration), albeit not uniformly or not yet in ISA. Cross-fertilisation from ISA to ICA is evident in assessing whether non-compliance with agreed pre-arbitration steps generally goes to jurisdiction of the arbitral tribunal or merely admissibility of claims. This article urges more attention to these and other possible examples of cross-fertilisation among ICA, </w:t>
      </w:r>
      <w:proofErr w:type="gramStart"/>
      <w:r w:rsidRPr="0003060E">
        <w:rPr>
          <w:rFonts w:asciiTheme="minorHAnsi" w:hAnsiTheme="minorHAnsi" w:cstheme="minorHAnsi"/>
        </w:rPr>
        <w:t>ISA</w:t>
      </w:r>
      <w:proofErr w:type="gramEnd"/>
      <w:r w:rsidRPr="0003060E">
        <w:rPr>
          <w:rFonts w:asciiTheme="minorHAnsi" w:hAnsiTheme="minorHAnsi" w:cstheme="minorHAnsi"/>
        </w:rPr>
        <w:t xml:space="preserve"> and mediation,</w:t>
      </w:r>
      <w:r w:rsidR="00170C51" w:rsidRPr="0003060E">
        <w:rPr>
          <w:rFonts w:asciiTheme="minorHAnsi" w:hAnsiTheme="minorHAnsi" w:cstheme="minorHAnsi"/>
        </w:rPr>
        <w:t xml:space="preserve"> especially to reduce costs and delays in cross-border dispute resolution.</w:t>
      </w:r>
    </w:p>
    <w:p w14:paraId="07E1CB81" w14:textId="43C2B461" w:rsidR="00D65CFD" w:rsidRPr="0003060E" w:rsidRDefault="00841F0F" w:rsidP="00E76D41">
      <w:pPr>
        <w:spacing w:before="120"/>
        <w:jc w:val="both"/>
        <w:rPr>
          <w:rFonts w:asciiTheme="minorHAnsi" w:hAnsiTheme="minorHAnsi" w:cstheme="minorHAnsi"/>
          <w:b/>
          <w:bCs/>
        </w:rPr>
      </w:pPr>
      <w:r w:rsidRPr="0003060E">
        <w:rPr>
          <w:rFonts w:asciiTheme="minorHAnsi" w:hAnsiTheme="minorHAnsi" w:cstheme="minorHAnsi"/>
          <w:b/>
          <w:bCs/>
        </w:rPr>
        <w:t xml:space="preserve">1. </w:t>
      </w:r>
      <w:r w:rsidR="00D65CFD" w:rsidRPr="0003060E">
        <w:rPr>
          <w:rFonts w:asciiTheme="minorHAnsi" w:hAnsiTheme="minorHAnsi" w:cstheme="minorHAnsi"/>
          <w:b/>
          <w:bCs/>
        </w:rPr>
        <w:t>Introduction</w:t>
      </w:r>
    </w:p>
    <w:p w14:paraId="2BC3E4A5" w14:textId="638B3070" w:rsidR="008E4456" w:rsidRPr="0003060E" w:rsidRDefault="00D21E34" w:rsidP="00E76D41">
      <w:pPr>
        <w:spacing w:before="120"/>
        <w:jc w:val="both"/>
        <w:rPr>
          <w:rFonts w:asciiTheme="minorHAnsi" w:hAnsiTheme="minorHAnsi" w:cstheme="minorHAnsi"/>
        </w:rPr>
      </w:pPr>
      <w:bookmarkStart w:id="0" w:name="_Hlk149294477"/>
      <w:r w:rsidRPr="0003060E">
        <w:rPr>
          <w:rFonts w:asciiTheme="minorHAnsi" w:hAnsiTheme="minorHAnsi" w:cstheme="minorHAnsi"/>
        </w:rPr>
        <w:t xml:space="preserve">International arbitration (IA) has burgeoned especially since the 1990s, including </w:t>
      </w:r>
      <w:r w:rsidR="004F6A4F" w:rsidRPr="0003060E">
        <w:rPr>
          <w:rFonts w:asciiTheme="minorHAnsi" w:hAnsiTheme="minorHAnsi" w:cstheme="minorHAnsi"/>
        </w:rPr>
        <w:t>across the</w:t>
      </w:r>
      <w:r w:rsidRPr="0003060E">
        <w:rPr>
          <w:rFonts w:asciiTheme="minorHAnsi" w:hAnsiTheme="minorHAnsi" w:cstheme="minorHAnsi"/>
        </w:rPr>
        <w:t xml:space="preserve"> Asian region (</w:t>
      </w:r>
      <w:r w:rsidR="00D5355E" w:rsidRPr="0003060E">
        <w:rPr>
          <w:rFonts w:asciiTheme="minorHAnsi" w:hAnsiTheme="minorHAnsi" w:cstheme="minorHAnsi"/>
        </w:rPr>
        <w:t xml:space="preserve">as elaborated below in </w:t>
      </w:r>
      <w:r w:rsidRPr="0003060E">
        <w:rPr>
          <w:rFonts w:asciiTheme="minorHAnsi" w:hAnsiTheme="minorHAnsi" w:cstheme="minorHAnsi"/>
        </w:rPr>
        <w:t xml:space="preserve">Part </w:t>
      </w:r>
      <w:r w:rsidR="00D5355E" w:rsidRPr="0003060E">
        <w:rPr>
          <w:rFonts w:asciiTheme="minorHAnsi" w:hAnsiTheme="minorHAnsi" w:cstheme="minorHAnsi"/>
        </w:rPr>
        <w:t>2</w:t>
      </w:r>
      <w:r w:rsidRPr="0003060E">
        <w:rPr>
          <w:rFonts w:asciiTheme="minorHAnsi" w:hAnsiTheme="minorHAnsi" w:cstheme="minorHAnsi"/>
        </w:rPr>
        <w:t xml:space="preserve">). The growth originated in international commercial arbitration (ICA), but </w:t>
      </w:r>
      <w:r w:rsidR="004F6A4F" w:rsidRPr="0003060E">
        <w:rPr>
          <w:rFonts w:asciiTheme="minorHAnsi" w:hAnsiTheme="minorHAnsi" w:cstheme="minorHAnsi"/>
        </w:rPr>
        <w:t xml:space="preserve">it </w:t>
      </w:r>
      <w:r w:rsidRPr="0003060E">
        <w:rPr>
          <w:rFonts w:asciiTheme="minorHAnsi" w:hAnsiTheme="minorHAnsi" w:cstheme="minorHAnsi"/>
        </w:rPr>
        <w:t xml:space="preserve">has been bolstered especially over the last 10-15 years from mostly </w:t>
      </w:r>
      <w:r w:rsidR="00D5355E" w:rsidRPr="0003060E">
        <w:rPr>
          <w:rFonts w:asciiTheme="minorHAnsi" w:hAnsiTheme="minorHAnsi" w:cstheme="minorHAnsi"/>
        </w:rPr>
        <w:t xml:space="preserve">now </w:t>
      </w:r>
      <w:r w:rsidRPr="0003060E">
        <w:rPr>
          <w:rFonts w:asciiTheme="minorHAnsi" w:hAnsiTheme="minorHAnsi" w:cstheme="minorHAnsi"/>
        </w:rPr>
        <w:t xml:space="preserve">treaty-based </w:t>
      </w:r>
      <w:r w:rsidR="00D5355E" w:rsidRPr="0003060E">
        <w:rPr>
          <w:rFonts w:asciiTheme="minorHAnsi" w:hAnsiTheme="minorHAnsi" w:cstheme="minorHAnsi"/>
        </w:rPr>
        <w:t xml:space="preserve">investor-state arbitration (ISA). However, as in the 1990s, concerns are again building about escalating delays and especially costs (Part 3). This is due not just to the growing complexity of transactions and therefore disputes. Other factors contributing to costs and delays arguably include IA </w:t>
      </w:r>
      <w:r w:rsidR="008E4456" w:rsidRPr="0003060E">
        <w:rPr>
          <w:rFonts w:asciiTheme="minorHAnsi" w:hAnsiTheme="minorHAnsi" w:cstheme="minorHAnsi"/>
        </w:rPr>
        <w:t xml:space="preserve">still </w:t>
      </w:r>
      <w:r w:rsidR="00D5355E" w:rsidRPr="0003060E">
        <w:rPr>
          <w:rFonts w:asciiTheme="minorHAnsi" w:hAnsiTheme="minorHAnsi" w:cstheme="minorHAnsi"/>
        </w:rPr>
        <w:t>having no real competitors</w:t>
      </w:r>
      <w:r w:rsidR="008E4456" w:rsidRPr="0003060E">
        <w:rPr>
          <w:rFonts w:asciiTheme="minorHAnsi" w:hAnsiTheme="minorHAnsi" w:cstheme="minorHAnsi"/>
        </w:rPr>
        <w:t xml:space="preserve"> for cross-border dispute resolution, the growth of large law firms and the billable hours culture, conservatism about controlling legal costs (</w:t>
      </w:r>
      <w:proofErr w:type="spellStart"/>
      <w:proofErr w:type="gramStart"/>
      <w:r w:rsidR="008E4456" w:rsidRPr="0003060E">
        <w:rPr>
          <w:rFonts w:asciiTheme="minorHAnsi" w:hAnsiTheme="minorHAnsi" w:cstheme="minorHAnsi"/>
        </w:rPr>
        <w:t>eg</w:t>
      </w:r>
      <w:proofErr w:type="spellEnd"/>
      <w:proofErr w:type="gramEnd"/>
      <w:r w:rsidR="008E4456" w:rsidRPr="0003060E">
        <w:rPr>
          <w:rFonts w:asciiTheme="minorHAnsi" w:hAnsiTheme="minorHAnsi" w:cstheme="minorHAnsi"/>
        </w:rPr>
        <w:t xml:space="preserve"> via</w:t>
      </w:r>
      <w:r w:rsidR="004F6A4F" w:rsidRPr="0003060E">
        <w:rPr>
          <w:rFonts w:asciiTheme="minorHAnsi" w:hAnsiTheme="minorHAnsi" w:cstheme="minorHAnsi"/>
        </w:rPr>
        <w:t xml:space="preserve"> caps on fees or</w:t>
      </w:r>
      <w:r w:rsidR="008E4456" w:rsidRPr="0003060E">
        <w:rPr>
          <w:rFonts w:asciiTheme="minorHAnsi" w:hAnsiTheme="minorHAnsi" w:cstheme="minorHAnsi"/>
        </w:rPr>
        <w:t xml:space="preserve"> sealed offers), the double-edged sword of confidentiality, and the proliferation of soft law instruments</w:t>
      </w:r>
      <w:r w:rsidR="00D5355E" w:rsidRPr="0003060E">
        <w:rPr>
          <w:rFonts w:asciiTheme="minorHAnsi" w:hAnsiTheme="minorHAnsi" w:cstheme="minorHAnsi"/>
        </w:rPr>
        <w:t xml:space="preserve">.  </w:t>
      </w:r>
    </w:p>
    <w:p w14:paraId="4741AFB5" w14:textId="37A173E1" w:rsidR="007B1451" w:rsidRPr="0003060E" w:rsidRDefault="007B1451" w:rsidP="00E76D41">
      <w:pPr>
        <w:spacing w:before="120"/>
        <w:jc w:val="both"/>
        <w:rPr>
          <w:rFonts w:asciiTheme="minorHAnsi" w:hAnsiTheme="minorHAnsi" w:cstheme="minorHAnsi"/>
        </w:rPr>
      </w:pPr>
      <w:r w:rsidRPr="0003060E">
        <w:rPr>
          <w:rFonts w:asciiTheme="minorHAnsi" w:hAnsiTheme="minorHAnsi" w:cstheme="minorHAnsi"/>
        </w:rPr>
        <w:t>There has been quite extensive discussion in case law and commentaries about the relationship between ICA and international litigation conducted through courts, as part of an overall system for resolving cross-border commercial disputes.</w:t>
      </w:r>
      <w:r w:rsidR="00FD202C" w:rsidRPr="0003060E">
        <w:rPr>
          <w:rStyle w:val="FootnoteReference"/>
          <w:rFonts w:asciiTheme="minorHAnsi" w:hAnsiTheme="minorHAnsi" w:cstheme="minorHAnsi"/>
        </w:rPr>
        <w:footnoteReference w:id="3"/>
      </w:r>
      <w:r w:rsidRPr="0003060E">
        <w:rPr>
          <w:rFonts w:asciiTheme="minorHAnsi" w:hAnsiTheme="minorHAnsi" w:cstheme="minorHAnsi"/>
        </w:rPr>
        <w:t xml:space="preserve"> The present paper takes an </w:t>
      </w:r>
      <w:r w:rsidRPr="0003060E">
        <w:rPr>
          <w:rFonts w:asciiTheme="minorHAnsi" w:hAnsiTheme="minorHAnsi" w:cstheme="minorHAnsi"/>
        </w:rPr>
        <w:lastRenderedPageBreak/>
        <w:t>even more encompassing vie</w:t>
      </w:r>
      <w:r w:rsidR="00FD202C" w:rsidRPr="0003060E">
        <w:rPr>
          <w:rFonts w:asciiTheme="minorHAnsi" w:hAnsiTheme="minorHAnsi" w:cstheme="minorHAnsi"/>
        </w:rPr>
        <w:t xml:space="preserve">w. It </w:t>
      </w:r>
      <w:r w:rsidRPr="0003060E">
        <w:rPr>
          <w:rFonts w:asciiTheme="minorHAnsi" w:hAnsiTheme="minorHAnsi" w:cstheme="minorHAnsi"/>
        </w:rPr>
        <w:t>teas</w:t>
      </w:r>
      <w:r w:rsidR="00FD202C" w:rsidRPr="0003060E">
        <w:rPr>
          <w:rFonts w:asciiTheme="minorHAnsi" w:hAnsiTheme="minorHAnsi" w:cstheme="minorHAnsi"/>
        </w:rPr>
        <w:t>es</w:t>
      </w:r>
      <w:r w:rsidRPr="0003060E">
        <w:rPr>
          <w:rFonts w:asciiTheme="minorHAnsi" w:hAnsiTheme="minorHAnsi" w:cstheme="minorHAnsi"/>
        </w:rPr>
        <w:t xml:space="preserve"> out some connections or influences among ICA, ISA, international and domestic mediation, which may be or become </w:t>
      </w:r>
      <w:proofErr w:type="gramStart"/>
      <w:r w:rsidRPr="0003060E">
        <w:rPr>
          <w:rFonts w:asciiTheme="minorHAnsi" w:hAnsiTheme="minorHAnsi" w:cstheme="minorHAnsi"/>
        </w:rPr>
        <w:t>more or less productive</w:t>
      </w:r>
      <w:proofErr w:type="gramEnd"/>
      <w:r w:rsidR="00FD202C" w:rsidRPr="0003060E">
        <w:rPr>
          <w:rFonts w:asciiTheme="minorHAnsi" w:hAnsiTheme="minorHAnsi" w:cstheme="minorHAnsi"/>
        </w:rPr>
        <w:t>, particularly from the perspective of reducing costs and delays.</w:t>
      </w:r>
    </w:p>
    <w:p w14:paraId="5F1E2994" w14:textId="2345C921" w:rsidR="00D65CFD" w:rsidRPr="0003060E" w:rsidRDefault="00D5355E" w:rsidP="00E76D41">
      <w:pPr>
        <w:spacing w:before="120"/>
        <w:jc w:val="both"/>
        <w:rPr>
          <w:rFonts w:asciiTheme="minorHAnsi" w:hAnsiTheme="minorHAnsi" w:cstheme="minorHAnsi"/>
        </w:rPr>
      </w:pPr>
      <w:r w:rsidRPr="0003060E">
        <w:rPr>
          <w:rFonts w:asciiTheme="minorHAnsi" w:hAnsiTheme="minorHAnsi" w:cstheme="minorHAnsi"/>
        </w:rPr>
        <w:t xml:space="preserve">Cross-fertilisation from mediation practice has not </w:t>
      </w:r>
      <w:r w:rsidR="008E4456" w:rsidRPr="0003060E">
        <w:rPr>
          <w:rFonts w:asciiTheme="minorHAnsi" w:hAnsiTheme="minorHAnsi" w:cstheme="minorHAnsi"/>
        </w:rPr>
        <w:t xml:space="preserve">yet </w:t>
      </w:r>
      <w:r w:rsidRPr="0003060E">
        <w:rPr>
          <w:rFonts w:asciiTheme="minorHAnsi" w:hAnsiTheme="minorHAnsi" w:cstheme="minorHAnsi"/>
        </w:rPr>
        <w:t>borne much fruit</w:t>
      </w:r>
      <w:r w:rsidR="008E4456" w:rsidRPr="0003060E">
        <w:rPr>
          <w:rFonts w:asciiTheme="minorHAnsi" w:hAnsiTheme="minorHAnsi" w:cstheme="minorHAnsi"/>
        </w:rPr>
        <w:t xml:space="preserve"> globally</w:t>
      </w:r>
      <w:r w:rsidRPr="0003060E">
        <w:rPr>
          <w:rFonts w:asciiTheme="minorHAnsi" w:hAnsiTheme="minorHAnsi" w:cstheme="minorHAnsi"/>
        </w:rPr>
        <w:t xml:space="preserve"> in the form of hybrid Arb-Med, where parties authorise arbitrators to act as mediators (Part 4), in ISA and even in ICA. Instead, Med-Arb and other multi-tiered dispute resolution clauses are becoming more prevalent in cross-border transactions, aiming to reduce the costs and delays associated with proceeding to IA (Part 5). However, the spread has not been </w:t>
      </w:r>
      <w:proofErr w:type="gramStart"/>
      <w:r w:rsidRPr="0003060E">
        <w:rPr>
          <w:rFonts w:asciiTheme="minorHAnsi" w:hAnsiTheme="minorHAnsi" w:cstheme="minorHAnsi"/>
        </w:rPr>
        <w:t>uniform</w:t>
      </w:r>
      <w:proofErr w:type="gramEnd"/>
      <w:r w:rsidRPr="0003060E">
        <w:rPr>
          <w:rFonts w:asciiTheme="minorHAnsi" w:hAnsiTheme="minorHAnsi" w:cstheme="minorHAnsi"/>
        </w:rPr>
        <w:t xml:space="preserve"> across the world of ICA, and has not yet impacted much on investment treaties and therefore ISA. In addition, cross-fertilisation partly from ISA regarding the consequences of non-compliance with pre-arbitration steps in such clauses is causing complications, although it may lead to constructive solutions in ICA as well as ISA. Overall, various </w:t>
      </w:r>
      <w:proofErr w:type="gramStart"/>
      <w:r w:rsidRPr="0003060E">
        <w:rPr>
          <w:rFonts w:asciiTheme="minorHAnsi" w:hAnsiTheme="minorHAnsi" w:cstheme="minorHAnsi"/>
          <w:color w:val="000000"/>
        </w:rPr>
        <w:t>cross-overs</w:t>
      </w:r>
      <w:proofErr w:type="gramEnd"/>
      <w:r w:rsidRPr="0003060E">
        <w:rPr>
          <w:rFonts w:asciiTheme="minorHAnsi" w:hAnsiTheme="minorHAnsi" w:cstheme="minorHAnsi"/>
          <w:color w:val="000000"/>
        </w:rPr>
        <w:t xml:space="preserve"> are already evident among ICA, ISA and international mediation, and such cross-fertilisation needs to be tracked and channelled into the most productive interactions.</w:t>
      </w:r>
    </w:p>
    <w:bookmarkEnd w:id="0"/>
    <w:p w14:paraId="602F4AB8" w14:textId="7C820652" w:rsidR="00D65CFD" w:rsidRPr="0003060E" w:rsidRDefault="00841F0F" w:rsidP="00E76D41">
      <w:pPr>
        <w:spacing w:before="120"/>
        <w:jc w:val="both"/>
        <w:rPr>
          <w:rFonts w:asciiTheme="minorHAnsi" w:hAnsiTheme="minorHAnsi" w:cstheme="minorHAnsi"/>
          <w:b/>
          <w:bCs/>
        </w:rPr>
      </w:pPr>
      <w:r w:rsidRPr="0003060E">
        <w:rPr>
          <w:rFonts w:asciiTheme="minorHAnsi" w:hAnsiTheme="minorHAnsi" w:cstheme="minorHAnsi"/>
          <w:b/>
          <w:bCs/>
        </w:rPr>
        <w:t xml:space="preserve">2. </w:t>
      </w:r>
      <w:r w:rsidR="00D65CFD" w:rsidRPr="0003060E">
        <w:rPr>
          <w:rFonts w:asciiTheme="minorHAnsi" w:hAnsiTheme="minorHAnsi" w:cstheme="minorHAnsi"/>
          <w:b/>
          <w:bCs/>
        </w:rPr>
        <w:t>The Explosion in International Arbitration</w:t>
      </w:r>
    </w:p>
    <w:p w14:paraId="05B10B1A" w14:textId="30D0CA9C" w:rsidR="00D65CFD" w:rsidRPr="0003060E" w:rsidRDefault="00D65CFD" w:rsidP="00E76D41">
      <w:pPr>
        <w:spacing w:before="120"/>
        <w:jc w:val="both"/>
        <w:rPr>
          <w:rFonts w:asciiTheme="minorHAnsi" w:hAnsiTheme="minorHAnsi" w:cstheme="minorHAnsi"/>
        </w:rPr>
      </w:pPr>
      <w:r w:rsidRPr="0003060E">
        <w:rPr>
          <w:rFonts w:asciiTheme="minorHAnsi" w:hAnsiTheme="minorHAnsi" w:cstheme="minorHAnsi"/>
        </w:rPr>
        <w:t>When I first got interested</w:t>
      </w:r>
      <w:r w:rsidR="002E7AF7" w:rsidRPr="0003060E">
        <w:rPr>
          <w:rFonts w:asciiTheme="minorHAnsi" w:hAnsiTheme="minorHAnsi" w:cstheme="minorHAnsi"/>
        </w:rPr>
        <w:t xml:space="preserve"> and engaged</w:t>
      </w:r>
      <w:r w:rsidRPr="0003060E">
        <w:rPr>
          <w:rFonts w:asciiTheme="minorHAnsi" w:hAnsiTheme="minorHAnsi" w:cstheme="minorHAnsi"/>
        </w:rPr>
        <w:t xml:space="preserve"> in ICA, in the early 1990s in Japan</w:t>
      </w:r>
      <w:r w:rsidR="00974398" w:rsidRPr="0003060E">
        <w:rPr>
          <w:rFonts w:asciiTheme="minorHAnsi" w:hAnsiTheme="minorHAnsi" w:cstheme="minorHAnsi"/>
        </w:rPr>
        <w:t xml:space="preserve"> and then as a rookie lawyer and lecturer in New Zealand, the field was very undeveloped in our region. </w:t>
      </w:r>
      <w:r w:rsidR="004F6A4F" w:rsidRPr="0003060E">
        <w:rPr>
          <w:rFonts w:asciiTheme="minorHAnsi" w:hAnsiTheme="minorHAnsi" w:cstheme="minorHAnsi"/>
        </w:rPr>
        <w:t xml:space="preserve">In 1989, </w:t>
      </w:r>
      <w:r w:rsidR="00974398" w:rsidRPr="0003060E">
        <w:rPr>
          <w:rFonts w:asciiTheme="minorHAnsi" w:hAnsiTheme="minorHAnsi" w:cstheme="minorHAnsi"/>
        </w:rPr>
        <w:t>Australia had followed Hong Kong in adopting</w:t>
      </w:r>
      <w:r w:rsidR="004F6A4F" w:rsidRPr="0003060E">
        <w:rPr>
          <w:rFonts w:asciiTheme="minorHAnsi" w:hAnsiTheme="minorHAnsi" w:cstheme="minorHAnsi"/>
        </w:rPr>
        <w:t xml:space="preserve"> </w:t>
      </w:r>
      <w:r w:rsidR="00C60AAB" w:rsidRPr="0003060E">
        <w:rPr>
          <w:rFonts w:asciiTheme="minorHAnsi" w:hAnsiTheme="minorHAnsi" w:cstheme="minorHAnsi"/>
        </w:rPr>
        <w:t>quite quickly</w:t>
      </w:r>
      <w:r w:rsidR="00974398" w:rsidRPr="0003060E">
        <w:rPr>
          <w:rFonts w:asciiTheme="minorHAnsi" w:hAnsiTheme="minorHAnsi" w:cstheme="minorHAnsi"/>
        </w:rPr>
        <w:t xml:space="preserve"> the 1985 UNCITRAL Model Law on International Commercial Arbitration (ML)</w:t>
      </w:r>
      <w:r w:rsidR="002F1A0B" w:rsidRPr="0003060E">
        <w:rPr>
          <w:rFonts w:asciiTheme="minorHAnsi" w:hAnsiTheme="minorHAnsi" w:cstheme="minorHAnsi"/>
        </w:rPr>
        <w:t>. This template for legislation</w:t>
      </w:r>
      <w:r w:rsidR="00974398" w:rsidRPr="0003060E">
        <w:rPr>
          <w:rFonts w:asciiTheme="minorHAnsi" w:hAnsiTheme="minorHAnsi" w:cstheme="minorHAnsi"/>
        </w:rPr>
        <w:t xml:space="preserve"> was influenced by the European civil law tradition in giving more autonomy to the parties and tribunals</w:t>
      </w:r>
      <w:r w:rsidR="002F1A0B" w:rsidRPr="0003060E">
        <w:rPr>
          <w:rFonts w:asciiTheme="minorHAnsi" w:hAnsiTheme="minorHAnsi" w:cstheme="minorHAnsi"/>
        </w:rPr>
        <w:t>,</w:t>
      </w:r>
      <w:r w:rsidR="00974398" w:rsidRPr="0003060E">
        <w:rPr>
          <w:rFonts w:asciiTheme="minorHAnsi" w:hAnsiTheme="minorHAnsi" w:cstheme="minorHAnsi"/>
        </w:rPr>
        <w:t xml:space="preserve"> compared to the (arguably</w:t>
      </w:r>
      <w:r w:rsidR="00CC3E21" w:rsidRPr="0003060E">
        <w:rPr>
          <w:rStyle w:val="FootnoteReference"/>
          <w:rFonts w:asciiTheme="minorHAnsi" w:hAnsiTheme="minorHAnsi" w:cstheme="minorHAnsi"/>
        </w:rPr>
        <w:footnoteReference w:id="4"/>
      </w:r>
      <w:r w:rsidR="00974398" w:rsidRPr="0003060E">
        <w:rPr>
          <w:rFonts w:asciiTheme="minorHAnsi" w:hAnsiTheme="minorHAnsi" w:cstheme="minorHAnsi"/>
        </w:rPr>
        <w:t xml:space="preserve">) more court-supervised English tradition. </w:t>
      </w:r>
      <w:r w:rsidR="002F1A0B" w:rsidRPr="0003060E">
        <w:rPr>
          <w:rFonts w:asciiTheme="minorHAnsi" w:hAnsiTheme="minorHAnsi" w:cstheme="minorHAnsi"/>
        </w:rPr>
        <w:t>Yet</w:t>
      </w:r>
      <w:r w:rsidR="00974398" w:rsidRPr="0003060E">
        <w:rPr>
          <w:rFonts w:asciiTheme="minorHAnsi" w:hAnsiTheme="minorHAnsi" w:cstheme="minorHAnsi"/>
        </w:rPr>
        <w:t xml:space="preserve"> it took </w:t>
      </w:r>
      <w:r w:rsidR="004F6A4F" w:rsidRPr="0003060E">
        <w:rPr>
          <w:rFonts w:asciiTheme="minorHAnsi" w:hAnsiTheme="minorHAnsi" w:cstheme="minorHAnsi"/>
        </w:rPr>
        <w:t>over</w:t>
      </w:r>
      <w:r w:rsidR="00974398" w:rsidRPr="0003060E">
        <w:rPr>
          <w:rFonts w:asciiTheme="minorHAnsi" w:hAnsiTheme="minorHAnsi" w:cstheme="minorHAnsi"/>
        </w:rPr>
        <w:t xml:space="preserve"> two decades </w:t>
      </w:r>
      <w:r w:rsidR="004F6A4F" w:rsidRPr="0003060E">
        <w:rPr>
          <w:rFonts w:asciiTheme="minorHAnsi" w:hAnsiTheme="minorHAnsi" w:cstheme="minorHAnsi"/>
        </w:rPr>
        <w:t xml:space="preserve">thereafter </w:t>
      </w:r>
      <w:r w:rsidR="00974398" w:rsidRPr="0003060E">
        <w:rPr>
          <w:rFonts w:asciiTheme="minorHAnsi" w:hAnsiTheme="minorHAnsi" w:cstheme="minorHAnsi"/>
        </w:rPr>
        <w:t xml:space="preserve">for </w:t>
      </w:r>
      <w:r w:rsidR="002F1A0B" w:rsidRPr="0003060E">
        <w:rPr>
          <w:rFonts w:asciiTheme="minorHAnsi" w:hAnsiTheme="minorHAnsi" w:cstheme="minorHAnsi"/>
        </w:rPr>
        <w:t>the ML provisions</w:t>
      </w:r>
      <w:r w:rsidR="00974398" w:rsidRPr="0003060E">
        <w:rPr>
          <w:rFonts w:asciiTheme="minorHAnsi" w:hAnsiTheme="minorHAnsi" w:cstheme="minorHAnsi"/>
        </w:rPr>
        <w:t xml:space="preserve"> to be extended</w:t>
      </w:r>
      <w:r w:rsidR="002F1A0B" w:rsidRPr="0003060E">
        <w:rPr>
          <w:rFonts w:asciiTheme="minorHAnsi" w:hAnsiTheme="minorHAnsi" w:cstheme="minorHAnsi"/>
        </w:rPr>
        <w:t xml:space="preserve"> in Australia</w:t>
      </w:r>
      <w:r w:rsidR="004F6A4F" w:rsidRPr="0003060E">
        <w:rPr>
          <w:rFonts w:asciiTheme="minorHAnsi" w:hAnsiTheme="minorHAnsi" w:cstheme="minorHAnsi"/>
        </w:rPr>
        <w:t xml:space="preserve"> </w:t>
      </w:r>
      <w:r w:rsidR="00974398" w:rsidRPr="0003060E">
        <w:rPr>
          <w:rFonts w:asciiTheme="minorHAnsi" w:hAnsiTheme="minorHAnsi" w:cstheme="minorHAnsi"/>
        </w:rPr>
        <w:t>to domestic arbitrations</w:t>
      </w:r>
      <w:r w:rsidR="004F6A4F" w:rsidRPr="0003060E">
        <w:rPr>
          <w:rFonts w:asciiTheme="minorHAnsi" w:hAnsiTheme="minorHAnsi" w:cstheme="minorHAnsi"/>
        </w:rPr>
        <w:t>, and then still with some twists</w:t>
      </w:r>
      <w:r w:rsidR="00974398" w:rsidRPr="0003060E">
        <w:rPr>
          <w:rFonts w:asciiTheme="minorHAnsi" w:hAnsiTheme="minorHAnsi" w:cstheme="minorHAnsi"/>
        </w:rPr>
        <w:t xml:space="preserve">. New Zealand did manage to enact the ML as the core for both international and arbitrations, in 1996, but only thanks to a private </w:t>
      </w:r>
      <w:r w:rsidR="00815E91" w:rsidRPr="0003060E">
        <w:rPr>
          <w:rFonts w:asciiTheme="minorHAnsi" w:hAnsiTheme="minorHAnsi" w:cstheme="minorHAnsi"/>
        </w:rPr>
        <w:t>M</w:t>
      </w:r>
      <w:r w:rsidR="00974398" w:rsidRPr="0003060E">
        <w:rPr>
          <w:rFonts w:asciiTheme="minorHAnsi" w:hAnsiTheme="minorHAnsi" w:cstheme="minorHAnsi"/>
        </w:rPr>
        <w:t>ember’s Bill after the 1990 Law Commission report had languished for years.</w:t>
      </w:r>
      <w:r w:rsidR="00CC3E21" w:rsidRPr="0003060E">
        <w:rPr>
          <w:rStyle w:val="FootnoteReference"/>
          <w:rFonts w:asciiTheme="minorHAnsi" w:hAnsiTheme="minorHAnsi" w:cstheme="minorHAnsi"/>
        </w:rPr>
        <w:footnoteReference w:id="5"/>
      </w:r>
      <w:r w:rsidR="00974398" w:rsidRPr="0003060E">
        <w:rPr>
          <w:rFonts w:asciiTheme="minorHAnsi" w:hAnsiTheme="minorHAnsi" w:cstheme="minorHAnsi"/>
        </w:rPr>
        <w:t xml:space="preserve"> Singapore enacted its ML-based regime in 1994, but the Singapore International Arbitration Centre (SIAC, established in </w:t>
      </w:r>
      <w:r w:rsidR="00C83FF9" w:rsidRPr="0003060E">
        <w:rPr>
          <w:rFonts w:asciiTheme="minorHAnsi" w:hAnsiTheme="minorHAnsi" w:cstheme="minorHAnsi"/>
        </w:rPr>
        <w:t>1991</w:t>
      </w:r>
      <w:r w:rsidR="00974398" w:rsidRPr="0003060E">
        <w:rPr>
          <w:rFonts w:asciiTheme="minorHAnsi" w:hAnsiTheme="minorHAnsi" w:cstheme="minorHAnsi"/>
        </w:rPr>
        <w:t>) saw little uptake in case filings for the ensuing decade. The Australian Centre for International Arbitration (ACICA), established in Melbourne in 1985, saw only a few international arbitration filings annually over 1998-2009.</w:t>
      </w:r>
      <w:r w:rsidR="00C83FF9" w:rsidRPr="0003060E">
        <w:rPr>
          <w:rStyle w:val="FootnoteReference"/>
          <w:rFonts w:asciiTheme="minorHAnsi" w:hAnsiTheme="minorHAnsi" w:cstheme="minorHAnsi"/>
        </w:rPr>
        <w:footnoteReference w:id="6"/>
      </w:r>
    </w:p>
    <w:p w14:paraId="20297103" w14:textId="1F10C44F" w:rsidR="005126E0" w:rsidRPr="0003060E" w:rsidRDefault="00974398" w:rsidP="00E76D41">
      <w:pPr>
        <w:spacing w:before="120"/>
        <w:jc w:val="both"/>
        <w:rPr>
          <w:rFonts w:asciiTheme="minorHAnsi" w:hAnsiTheme="minorHAnsi" w:cstheme="minorHAnsi"/>
        </w:rPr>
      </w:pPr>
      <w:r w:rsidRPr="0003060E">
        <w:rPr>
          <w:rFonts w:asciiTheme="minorHAnsi" w:hAnsiTheme="minorHAnsi" w:cstheme="minorHAnsi"/>
        </w:rPr>
        <w:t xml:space="preserve">Yet </w:t>
      </w:r>
      <w:r w:rsidR="00CC3E21" w:rsidRPr="0003060E">
        <w:rPr>
          <w:rFonts w:asciiTheme="minorHAnsi" w:hAnsiTheme="minorHAnsi" w:cstheme="minorHAnsi"/>
        </w:rPr>
        <w:t>case filings in other regional arbitration institutions started to pick up over th</w:t>
      </w:r>
      <w:r w:rsidR="002F1A0B" w:rsidRPr="0003060E">
        <w:rPr>
          <w:rFonts w:asciiTheme="minorHAnsi" w:hAnsiTheme="minorHAnsi" w:cstheme="minorHAnsi"/>
        </w:rPr>
        <w:t>at</w:t>
      </w:r>
      <w:r w:rsidR="00CC3E21" w:rsidRPr="0003060E">
        <w:rPr>
          <w:rFonts w:asciiTheme="minorHAnsi" w:hAnsiTheme="minorHAnsi" w:cstheme="minorHAnsi"/>
        </w:rPr>
        <w:t xml:space="preserve"> period, following earlier growth in Western “core” institutions like the International Chamber of Commerce (ICC) and London Court of International Arbitration (LCIA). SIAC </w:t>
      </w:r>
      <w:r w:rsidR="002F1A0B" w:rsidRPr="0003060E">
        <w:rPr>
          <w:rFonts w:asciiTheme="minorHAnsi" w:hAnsiTheme="minorHAnsi" w:cstheme="minorHAnsi"/>
        </w:rPr>
        <w:t xml:space="preserve">experienced a </w:t>
      </w:r>
      <w:r w:rsidR="002F1A0B" w:rsidRPr="0003060E">
        <w:rPr>
          <w:rFonts w:asciiTheme="minorHAnsi" w:hAnsiTheme="minorHAnsi" w:cstheme="minorHAnsi"/>
        </w:rPr>
        <w:lastRenderedPageBreak/>
        <w:t xml:space="preserve">noticeable </w:t>
      </w:r>
      <w:r w:rsidR="00CC3E21" w:rsidRPr="0003060E">
        <w:rPr>
          <w:rFonts w:asciiTheme="minorHAnsi" w:hAnsiTheme="minorHAnsi" w:cstheme="minorHAnsi"/>
        </w:rPr>
        <w:t>boost after it opened the Maxwell Chambers facilities in 20</w:t>
      </w:r>
      <w:r w:rsidR="00C83FF9" w:rsidRPr="0003060E">
        <w:rPr>
          <w:rFonts w:asciiTheme="minorHAnsi" w:hAnsiTheme="minorHAnsi" w:cstheme="minorHAnsi"/>
        </w:rPr>
        <w:t>10</w:t>
      </w:r>
      <w:r w:rsidR="00CC3E21" w:rsidRPr="0003060E">
        <w:rPr>
          <w:rFonts w:asciiTheme="minorHAnsi" w:hAnsiTheme="minorHAnsi" w:cstheme="minorHAnsi"/>
        </w:rPr>
        <w:t>.</w:t>
      </w:r>
      <w:r w:rsidR="00C83FF9" w:rsidRPr="0003060E">
        <w:rPr>
          <w:rStyle w:val="FootnoteReference"/>
          <w:rFonts w:asciiTheme="minorHAnsi" w:hAnsiTheme="minorHAnsi" w:cstheme="minorHAnsi"/>
        </w:rPr>
        <w:footnoteReference w:id="7"/>
      </w:r>
      <w:r w:rsidR="00CC3E21" w:rsidRPr="0003060E">
        <w:rPr>
          <w:rFonts w:asciiTheme="minorHAnsi" w:hAnsiTheme="minorHAnsi" w:cstheme="minorHAnsi"/>
        </w:rPr>
        <w:t xml:space="preserve"> That prompted the Hong Kong International Arbitration Centre (HKIAC) to lift its game</w:t>
      </w:r>
      <w:r w:rsidR="000623D8" w:rsidRPr="0003060E">
        <w:rPr>
          <w:rFonts w:asciiTheme="minorHAnsi" w:hAnsiTheme="minorHAnsi" w:cstheme="minorHAnsi"/>
        </w:rPr>
        <w:t xml:space="preserve"> </w:t>
      </w:r>
      <w:r w:rsidR="002F1A0B" w:rsidRPr="0003060E">
        <w:rPr>
          <w:rFonts w:asciiTheme="minorHAnsi" w:hAnsiTheme="minorHAnsi" w:cstheme="minorHAnsi"/>
        </w:rPr>
        <w:t>too, improving its own facilities. HKIAC had also somewhat belatedly adopted</w:t>
      </w:r>
      <w:r w:rsidR="00CC3E21" w:rsidRPr="0003060E">
        <w:rPr>
          <w:rFonts w:asciiTheme="minorHAnsi" w:hAnsiTheme="minorHAnsi" w:cstheme="minorHAnsi"/>
        </w:rPr>
        <w:t xml:space="preserve"> new Rules for Administered Arbitration from 2008, rather than </w:t>
      </w:r>
      <w:r w:rsidR="002F1A0B" w:rsidRPr="0003060E">
        <w:rPr>
          <w:rFonts w:asciiTheme="minorHAnsi" w:hAnsiTheme="minorHAnsi" w:cstheme="minorHAnsi"/>
        </w:rPr>
        <w:t xml:space="preserve">just </w:t>
      </w:r>
      <w:r w:rsidR="00CC3E21" w:rsidRPr="0003060E">
        <w:rPr>
          <w:rFonts w:asciiTheme="minorHAnsi" w:hAnsiTheme="minorHAnsi" w:cstheme="minorHAnsi"/>
        </w:rPr>
        <w:t xml:space="preserve">providing more limited support for proceedings under the UNCITRAL </w:t>
      </w:r>
      <w:r w:rsidR="002F1A0B" w:rsidRPr="0003060E">
        <w:rPr>
          <w:rFonts w:asciiTheme="minorHAnsi" w:hAnsiTheme="minorHAnsi" w:cstheme="minorHAnsi"/>
        </w:rPr>
        <w:t xml:space="preserve">Arbitration </w:t>
      </w:r>
      <w:r w:rsidR="00CC3E21" w:rsidRPr="0003060E">
        <w:rPr>
          <w:rFonts w:asciiTheme="minorHAnsi" w:hAnsiTheme="minorHAnsi" w:cstheme="minorHAnsi"/>
        </w:rPr>
        <w:t xml:space="preserve">Rules </w:t>
      </w:r>
      <w:r w:rsidR="000623D8" w:rsidRPr="0003060E">
        <w:rPr>
          <w:rFonts w:asciiTheme="minorHAnsi" w:hAnsiTheme="minorHAnsi" w:cstheme="minorHAnsi"/>
        </w:rPr>
        <w:t xml:space="preserve">– </w:t>
      </w:r>
      <w:r w:rsidR="00CC3E21" w:rsidRPr="0003060E">
        <w:rPr>
          <w:rFonts w:asciiTheme="minorHAnsi" w:hAnsiTheme="minorHAnsi" w:cstheme="minorHAnsi"/>
        </w:rPr>
        <w:t xml:space="preserve">designed primarily for ad hoc arbitrations. The China International </w:t>
      </w:r>
      <w:r w:rsidR="00435D46" w:rsidRPr="0003060E">
        <w:rPr>
          <w:rFonts w:asciiTheme="minorHAnsi" w:hAnsiTheme="minorHAnsi" w:cstheme="minorHAnsi"/>
        </w:rPr>
        <w:t xml:space="preserve">Economic </w:t>
      </w:r>
      <w:r w:rsidR="00CC3E21" w:rsidRPr="0003060E">
        <w:rPr>
          <w:rFonts w:asciiTheme="minorHAnsi" w:hAnsiTheme="minorHAnsi" w:cstheme="minorHAnsi"/>
        </w:rPr>
        <w:t>and Trade Arbitration Commission (CIETAC) caseload also expanded dramatically, along with the surge in trade with and investment into the mainland</w:t>
      </w:r>
      <w:r w:rsidR="002E7AF7" w:rsidRPr="0003060E">
        <w:rPr>
          <w:rFonts w:asciiTheme="minorHAnsi" w:hAnsiTheme="minorHAnsi" w:cstheme="minorHAnsi"/>
        </w:rPr>
        <w:t xml:space="preserve">. The growth in CIETAC </w:t>
      </w:r>
      <w:r w:rsidR="002543A2" w:rsidRPr="0003060E">
        <w:rPr>
          <w:rFonts w:asciiTheme="minorHAnsi" w:hAnsiTheme="minorHAnsi" w:cstheme="minorHAnsi"/>
        </w:rPr>
        <w:t xml:space="preserve">arbitrations (although mostly domestic) </w:t>
      </w:r>
      <w:r w:rsidR="002E7AF7" w:rsidRPr="0003060E">
        <w:rPr>
          <w:rFonts w:asciiTheme="minorHAnsi" w:hAnsiTheme="minorHAnsi" w:cstheme="minorHAnsi"/>
        </w:rPr>
        <w:t xml:space="preserve">and </w:t>
      </w:r>
      <w:r w:rsidR="002543A2" w:rsidRPr="0003060E">
        <w:rPr>
          <w:rFonts w:asciiTheme="minorHAnsi" w:hAnsiTheme="minorHAnsi" w:cstheme="minorHAnsi"/>
        </w:rPr>
        <w:t>a proliferation of</w:t>
      </w:r>
      <w:r w:rsidR="002E7AF7" w:rsidRPr="0003060E">
        <w:rPr>
          <w:rFonts w:asciiTheme="minorHAnsi" w:hAnsiTheme="minorHAnsi" w:cstheme="minorHAnsi"/>
        </w:rPr>
        <w:t xml:space="preserve"> arbitration centres</w:t>
      </w:r>
      <w:r w:rsidR="002543A2" w:rsidRPr="0003060E">
        <w:rPr>
          <w:rFonts w:asciiTheme="minorHAnsi" w:hAnsiTheme="minorHAnsi" w:cstheme="minorHAnsi"/>
        </w:rPr>
        <w:t xml:space="preserve"> nation-wide</w:t>
      </w:r>
      <w:r w:rsidR="002E7AF7" w:rsidRPr="0003060E">
        <w:rPr>
          <w:rFonts w:asciiTheme="minorHAnsi" w:hAnsiTheme="minorHAnsi" w:cstheme="minorHAnsi"/>
        </w:rPr>
        <w:t xml:space="preserve"> was also bolstered because</w:t>
      </w:r>
      <w:r w:rsidR="000623D8" w:rsidRPr="0003060E">
        <w:rPr>
          <w:rFonts w:asciiTheme="minorHAnsi" w:hAnsiTheme="minorHAnsi" w:cstheme="minorHAnsi"/>
        </w:rPr>
        <w:t xml:space="preserve"> </w:t>
      </w:r>
      <w:r w:rsidR="002E7AF7" w:rsidRPr="0003060E">
        <w:rPr>
          <w:rFonts w:asciiTheme="minorHAnsi" w:hAnsiTheme="minorHAnsi" w:cstheme="minorHAnsi"/>
        </w:rPr>
        <w:t xml:space="preserve">China’s </w:t>
      </w:r>
      <w:r w:rsidR="000623D8" w:rsidRPr="0003060E">
        <w:rPr>
          <w:rFonts w:asciiTheme="minorHAnsi" w:hAnsiTheme="minorHAnsi" w:cstheme="minorHAnsi"/>
        </w:rPr>
        <w:t>1994 Arbitration Act prohibited ad hoc arbitrations</w:t>
      </w:r>
      <w:r w:rsidR="000623D8" w:rsidRPr="0003060E">
        <w:rPr>
          <w:rStyle w:val="FootnoteReference"/>
          <w:rFonts w:asciiTheme="minorHAnsi" w:hAnsiTheme="minorHAnsi" w:cstheme="minorHAnsi"/>
        </w:rPr>
        <w:footnoteReference w:id="8"/>
      </w:r>
      <w:r w:rsidR="000623D8" w:rsidRPr="0003060E">
        <w:rPr>
          <w:rFonts w:asciiTheme="minorHAnsi" w:hAnsiTheme="minorHAnsi" w:cstheme="minorHAnsi"/>
        </w:rPr>
        <w:t xml:space="preserve"> and the local court system has struggled with delays</w:t>
      </w:r>
      <w:r w:rsidR="004F6A4F" w:rsidRPr="0003060E">
        <w:rPr>
          <w:rFonts w:asciiTheme="minorHAnsi" w:hAnsiTheme="minorHAnsi" w:cstheme="minorHAnsi"/>
        </w:rPr>
        <w:t>. corruption</w:t>
      </w:r>
      <w:r w:rsidR="000623D8" w:rsidRPr="0003060E">
        <w:rPr>
          <w:rFonts w:asciiTheme="minorHAnsi" w:hAnsiTheme="minorHAnsi" w:cstheme="minorHAnsi"/>
        </w:rPr>
        <w:t xml:space="preserve"> and other problems.</w:t>
      </w:r>
      <w:r w:rsidR="000623D8" w:rsidRPr="0003060E">
        <w:rPr>
          <w:rStyle w:val="FootnoteReference"/>
          <w:rFonts w:asciiTheme="minorHAnsi" w:hAnsiTheme="minorHAnsi" w:cstheme="minorHAnsi"/>
        </w:rPr>
        <w:footnoteReference w:id="9"/>
      </w:r>
      <w:r w:rsidR="000623D8" w:rsidRPr="0003060E">
        <w:rPr>
          <w:rFonts w:asciiTheme="minorHAnsi" w:hAnsiTheme="minorHAnsi" w:cstheme="minorHAnsi"/>
        </w:rPr>
        <w:t xml:space="preserve"> </w:t>
      </w:r>
    </w:p>
    <w:p w14:paraId="38250621" w14:textId="356DD05A" w:rsidR="004F6A4F" w:rsidRPr="0003060E" w:rsidRDefault="000623D8" w:rsidP="00E76D41">
      <w:pPr>
        <w:spacing w:before="120"/>
        <w:jc w:val="both"/>
        <w:rPr>
          <w:rFonts w:asciiTheme="minorHAnsi" w:hAnsiTheme="minorHAnsi" w:cstheme="minorHAnsi"/>
        </w:rPr>
      </w:pPr>
      <w:r w:rsidRPr="0003060E">
        <w:rPr>
          <w:rFonts w:asciiTheme="minorHAnsi" w:hAnsiTheme="minorHAnsi" w:cstheme="minorHAnsi"/>
        </w:rPr>
        <w:t>Similar reasons underpin the more recent growth in cases in the Vietnam International Arbitration Centre.</w:t>
      </w:r>
      <w:r w:rsidRPr="0003060E">
        <w:rPr>
          <w:rStyle w:val="FootnoteReference"/>
          <w:rFonts w:asciiTheme="minorHAnsi" w:hAnsiTheme="minorHAnsi" w:cstheme="minorHAnsi"/>
        </w:rPr>
        <w:footnoteReference w:id="10"/>
      </w:r>
      <w:r w:rsidR="005126E0" w:rsidRPr="0003060E">
        <w:rPr>
          <w:rFonts w:asciiTheme="minorHAnsi" w:hAnsiTheme="minorHAnsi" w:cstheme="minorHAnsi"/>
        </w:rPr>
        <w:t xml:space="preserve"> The inter-governmental Kuala Lumpur Centre for Regional Commercial Arbitration rebranded in </w:t>
      </w:r>
      <w:r w:rsidR="00951885" w:rsidRPr="0003060E">
        <w:rPr>
          <w:rFonts w:asciiTheme="minorHAnsi" w:hAnsiTheme="minorHAnsi" w:cstheme="minorHAnsi"/>
        </w:rPr>
        <w:t>2018</w:t>
      </w:r>
      <w:r w:rsidR="005126E0" w:rsidRPr="0003060E">
        <w:rPr>
          <w:rFonts w:asciiTheme="minorHAnsi" w:hAnsiTheme="minorHAnsi" w:cstheme="minorHAnsi"/>
        </w:rPr>
        <w:t xml:space="preserve"> as the Asian International Arbitration Centr</w:t>
      </w:r>
      <w:r w:rsidR="002E7AF7" w:rsidRPr="0003060E">
        <w:rPr>
          <w:rFonts w:asciiTheme="minorHAnsi" w:hAnsiTheme="minorHAnsi" w:cstheme="minorHAnsi"/>
        </w:rPr>
        <w:t>e. It has seen</w:t>
      </w:r>
      <w:r w:rsidR="005126E0" w:rsidRPr="0003060E">
        <w:rPr>
          <w:rFonts w:asciiTheme="minorHAnsi" w:hAnsiTheme="minorHAnsi" w:cstheme="minorHAnsi"/>
        </w:rPr>
        <w:t xml:space="preserve"> a small increase in international arbitration filings but much more activity administering statutory adjudication of construction disputes.</w:t>
      </w:r>
      <w:r w:rsidR="005126E0" w:rsidRPr="0003060E">
        <w:rPr>
          <w:rStyle w:val="FootnoteReference"/>
          <w:rFonts w:asciiTheme="minorHAnsi" w:hAnsiTheme="minorHAnsi" w:cstheme="minorHAnsi"/>
        </w:rPr>
        <w:footnoteReference w:id="11"/>
      </w:r>
      <w:r w:rsidRPr="0003060E">
        <w:rPr>
          <w:rFonts w:asciiTheme="minorHAnsi" w:hAnsiTheme="minorHAnsi" w:cstheme="minorHAnsi"/>
        </w:rPr>
        <w:t xml:space="preserve"> After the Asian Financial Crisis of 1997 and bailout of Korea by the International Monetary Fund, the Korea Commercial Arbitration Board</w:t>
      </w:r>
      <w:r w:rsidR="009A23CA" w:rsidRPr="0003060E">
        <w:rPr>
          <w:rFonts w:asciiTheme="minorHAnsi" w:hAnsiTheme="minorHAnsi" w:cstheme="minorHAnsi"/>
        </w:rPr>
        <w:t xml:space="preserve"> (KCAB)</w:t>
      </w:r>
      <w:r w:rsidRPr="0003060E">
        <w:rPr>
          <w:rFonts w:asciiTheme="minorHAnsi" w:hAnsiTheme="minorHAnsi" w:cstheme="minorHAnsi"/>
        </w:rPr>
        <w:t xml:space="preserve"> also saw steady growth </w:t>
      </w:r>
      <w:r w:rsidR="004F6A4F" w:rsidRPr="0003060E">
        <w:rPr>
          <w:rFonts w:asciiTheme="minorHAnsi" w:hAnsiTheme="minorHAnsi" w:cstheme="minorHAnsi"/>
        </w:rPr>
        <w:t>in</w:t>
      </w:r>
      <w:r w:rsidRPr="0003060E">
        <w:rPr>
          <w:rFonts w:asciiTheme="minorHAnsi" w:hAnsiTheme="minorHAnsi" w:cstheme="minorHAnsi"/>
        </w:rPr>
        <w:t xml:space="preserve"> domestic and then international arbitration filings, as inbound foreign</w:t>
      </w:r>
      <w:r w:rsidR="004F6A4F" w:rsidRPr="0003060E">
        <w:rPr>
          <w:rFonts w:asciiTheme="minorHAnsi" w:hAnsiTheme="minorHAnsi" w:cstheme="minorHAnsi"/>
        </w:rPr>
        <w:t xml:space="preserve"> direct</w:t>
      </w:r>
      <w:r w:rsidRPr="0003060E">
        <w:rPr>
          <w:rFonts w:asciiTheme="minorHAnsi" w:hAnsiTheme="minorHAnsi" w:cstheme="minorHAnsi"/>
        </w:rPr>
        <w:t xml:space="preserve"> investment </w:t>
      </w:r>
      <w:r w:rsidR="004F6A4F" w:rsidRPr="0003060E">
        <w:rPr>
          <w:rFonts w:asciiTheme="minorHAnsi" w:hAnsiTheme="minorHAnsi" w:cstheme="minorHAnsi"/>
        </w:rPr>
        <w:t xml:space="preserve">(FDI) </w:t>
      </w:r>
      <w:proofErr w:type="gramStart"/>
      <w:r w:rsidRPr="0003060E">
        <w:rPr>
          <w:rFonts w:asciiTheme="minorHAnsi" w:hAnsiTheme="minorHAnsi" w:cstheme="minorHAnsi"/>
        </w:rPr>
        <w:t>grew</w:t>
      </w:r>
      <w:proofErr w:type="gramEnd"/>
      <w:r w:rsidRPr="0003060E">
        <w:rPr>
          <w:rFonts w:asciiTheme="minorHAnsi" w:hAnsiTheme="minorHAnsi" w:cstheme="minorHAnsi"/>
        </w:rPr>
        <w:t xml:space="preserve"> and </w:t>
      </w:r>
      <w:r w:rsidR="002543A2" w:rsidRPr="0003060E">
        <w:rPr>
          <w:rFonts w:asciiTheme="minorHAnsi" w:hAnsiTheme="minorHAnsi" w:cstheme="minorHAnsi"/>
        </w:rPr>
        <w:t>many mergers and acquisitions encountered problems. L</w:t>
      </w:r>
      <w:r w:rsidRPr="0003060E">
        <w:rPr>
          <w:rFonts w:asciiTheme="minorHAnsi" w:hAnsiTheme="minorHAnsi" w:cstheme="minorHAnsi"/>
        </w:rPr>
        <w:t>arge Korean conglomerates</w:t>
      </w:r>
      <w:r w:rsidR="004F6A4F" w:rsidRPr="0003060E">
        <w:rPr>
          <w:rFonts w:asciiTheme="minorHAnsi" w:hAnsiTheme="minorHAnsi" w:cstheme="minorHAnsi"/>
        </w:rPr>
        <w:t xml:space="preserve"> and construction companies</w:t>
      </w:r>
      <w:r w:rsidRPr="0003060E">
        <w:rPr>
          <w:rFonts w:asciiTheme="minorHAnsi" w:hAnsiTheme="minorHAnsi" w:cstheme="minorHAnsi"/>
        </w:rPr>
        <w:t xml:space="preserve"> </w:t>
      </w:r>
      <w:r w:rsidR="002543A2" w:rsidRPr="0003060E">
        <w:rPr>
          <w:rFonts w:asciiTheme="minorHAnsi" w:hAnsiTheme="minorHAnsi" w:cstheme="minorHAnsi"/>
        </w:rPr>
        <w:t xml:space="preserve">also increasingly </w:t>
      </w:r>
      <w:r w:rsidRPr="0003060E">
        <w:rPr>
          <w:rFonts w:asciiTheme="minorHAnsi" w:hAnsiTheme="minorHAnsi" w:cstheme="minorHAnsi"/>
        </w:rPr>
        <w:t>ventured abroad.</w:t>
      </w:r>
      <w:r w:rsidRPr="0003060E">
        <w:rPr>
          <w:rStyle w:val="FootnoteReference"/>
          <w:rFonts w:asciiTheme="minorHAnsi" w:hAnsiTheme="minorHAnsi" w:cstheme="minorHAnsi"/>
        </w:rPr>
        <w:footnoteReference w:id="12"/>
      </w:r>
      <w:r w:rsidRPr="0003060E">
        <w:rPr>
          <w:rFonts w:asciiTheme="minorHAnsi" w:hAnsiTheme="minorHAnsi" w:cstheme="minorHAnsi"/>
        </w:rPr>
        <w:t xml:space="preserve"> </w:t>
      </w:r>
    </w:p>
    <w:p w14:paraId="48AA6B5C" w14:textId="72C2D9A8" w:rsidR="00974398" w:rsidRPr="0003060E" w:rsidRDefault="000623D8" w:rsidP="00E76D41">
      <w:pPr>
        <w:spacing w:before="120"/>
        <w:jc w:val="both"/>
        <w:rPr>
          <w:rFonts w:asciiTheme="minorHAnsi" w:hAnsiTheme="minorHAnsi" w:cstheme="minorHAnsi"/>
        </w:rPr>
      </w:pPr>
      <w:r w:rsidRPr="0003060E">
        <w:rPr>
          <w:rFonts w:asciiTheme="minorHAnsi" w:hAnsiTheme="minorHAnsi" w:cstheme="minorHAnsi"/>
        </w:rPr>
        <w:t xml:space="preserve">Japan’s large firms </w:t>
      </w:r>
      <w:r w:rsidR="00531F07" w:rsidRPr="0003060E">
        <w:rPr>
          <w:rFonts w:asciiTheme="minorHAnsi" w:hAnsiTheme="minorHAnsi" w:cstheme="minorHAnsi"/>
        </w:rPr>
        <w:t>have been</w:t>
      </w:r>
      <w:r w:rsidRPr="0003060E">
        <w:rPr>
          <w:rFonts w:asciiTheme="minorHAnsi" w:hAnsiTheme="minorHAnsi" w:cstheme="minorHAnsi"/>
        </w:rPr>
        <w:t xml:space="preserve"> less forceful in pressing for arbitration clauses specifying a local seat, prioritising other matters in cross-border contract negotiations and </w:t>
      </w:r>
      <w:r w:rsidR="00BE423A" w:rsidRPr="0003060E">
        <w:rPr>
          <w:rFonts w:asciiTheme="minorHAnsi" w:hAnsiTheme="minorHAnsi" w:cstheme="minorHAnsi"/>
        </w:rPr>
        <w:t>maintaining more of a view that spending money on pursuing arbitration (or litigation) is like throwing good money after bad.</w:t>
      </w:r>
      <w:r w:rsidR="005126E0" w:rsidRPr="0003060E">
        <w:rPr>
          <w:rStyle w:val="FootnoteReference"/>
          <w:rFonts w:asciiTheme="minorHAnsi" w:hAnsiTheme="minorHAnsi" w:cstheme="minorHAnsi"/>
        </w:rPr>
        <w:footnoteReference w:id="13"/>
      </w:r>
      <w:r w:rsidR="00BE423A" w:rsidRPr="0003060E">
        <w:rPr>
          <w:rFonts w:asciiTheme="minorHAnsi" w:hAnsiTheme="minorHAnsi" w:cstheme="minorHAnsi"/>
        </w:rPr>
        <w:t xml:space="preserve"> </w:t>
      </w:r>
      <w:r w:rsidR="002E7AF7" w:rsidRPr="0003060E">
        <w:rPr>
          <w:rFonts w:asciiTheme="minorHAnsi" w:hAnsiTheme="minorHAnsi" w:cstheme="minorHAnsi"/>
        </w:rPr>
        <w:t xml:space="preserve">Yet </w:t>
      </w:r>
      <w:r w:rsidR="00BE423A" w:rsidRPr="0003060E">
        <w:rPr>
          <w:rFonts w:asciiTheme="minorHAnsi" w:hAnsiTheme="minorHAnsi" w:cstheme="minorHAnsi"/>
        </w:rPr>
        <w:t xml:space="preserve">Korea’s enactment of a ML-based statute in 1999 and establishment of Seoul International Dispute Resolution Centre facilities led, respectively a few years later, to similar initiatives from the </w:t>
      </w:r>
      <w:r w:rsidR="002E7AF7" w:rsidRPr="0003060E">
        <w:rPr>
          <w:rFonts w:asciiTheme="minorHAnsi" w:hAnsiTheme="minorHAnsi" w:cstheme="minorHAnsi"/>
        </w:rPr>
        <w:t xml:space="preserve">Japanese </w:t>
      </w:r>
      <w:r w:rsidR="00BE423A" w:rsidRPr="0003060E">
        <w:rPr>
          <w:rFonts w:asciiTheme="minorHAnsi" w:hAnsiTheme="minorHAnsi" w:cstheme="minorHAnsi"/>
        </w:rPr>
        <w:t>government and growing group of arbitration experts in Japan</w:t>
      </w:r>
      <w:r w:rsidR="002E7AF7" w:rsidRPr="0003060E">
        <w:rPr>
          <w:rFonts w:asciiTheme="minorHAnsi" w:hAnsiTheme="minorHAnsi" w:cstheme="minorHAnsi"/>
        </w:rPr>
        <w:t>. They too aim to turn the country</w:t>
      </w:r>
      <w:r w:rsidR="00BE423A" w:rsidRPr="0003060E">
        <w:rPr>
          <w:rFonts w:asciiTheme="minorHAnsi" w:hAnsiTheme="minorHAnsi" w:cstheme="minorHAnsi"/>
        </w:rPr>
        <w:t xml:space="preserve"> into a more competitive regional hub for arbitration and mediation services</w:t>
      </w:r>
      <w:r w:rsidR="002E7AF7" w:rsidRPr="0003060E">
        <w:rPr>
          <w:rFonts w:asciiTheme="minorHAnsi" w:hAnsiTheme="minorHAnsi" w:cstheme="minorHAnsi"/>
        </w:rPr>
        <w:t>, although this ambition may prove a case of “too little, too late”</w:t>
      </w:r>
      <w:r w:rsidR="00BE423A" w:rsidRPr="0003060E">
        <w:rPr>
          <w:rFonts w:asciiTheme="minorHAnsi" w:hAnsiTheme="minorHAnsi" w:cstheme="minorHAnsi"/>
        </w:rPr>
        <w:t>.</w:t>
      </w:r>
      <w:r w:rsidR="00BE423A" w:rsidRPr="0003060E">
        <w:rPr>
          <w:rStyle w:val="FootnoteReference"/>
          <w:rFonts w:asciiTheme="minorHAnsi" w:hAnsiTheme="minorHAnsi" w:cstheme="minorHAnsi"/>
        </w:rPr>
        <w:footnoteReference w:id="14"/>
      </w:r>
    </w:p>
    <w:p w14:paraId="385FC6BF" w14:textId="5FE99F40" w:rsidR="00DD4ECB" w:rsidRPr="0003060E" w:rsidRDefault="008B3619" w:rsidP="00E76D41">
      <w:pPr>
        <w:spacing w:before="120"/>
        <w:jc w:val="both"/>
        <w:rPr>
          <w:rFonts w:asciiTheme="minorHAnsi" w:hAnsiTheme="minorHAnsi" w:cstheme="minorHAnsi"/>
        </w:rPr>
      </w:pPr>
      <w:r w:rsidRPr="0003060E">
        <w:rPr>
          <w:rFonts w:asciiTheme="minorHAnsi" w:hAnsiTheme="minorHAnsi" w:cstheme="minorHAnsi"/>
        </w:rPr>
        <w:lastRenderedPageBreak/>
        <w:t>Overall, IA’s spread through the “periphery” in the East over the last 15-20 years has been quite dramatic</w:t>
      </w:r>
      <w:r w:rsidR="002E7AF7" w:rsidRPr="0003060E">
        <w:rPr>
          <w:rFonts w:asciiTheme="minorHAnsi" w:hAnsiTheme="minorHAnsi" w:cstheme="minorHAnsi"/>
        </w:rPr>
        <w:t>. It has</w:t>
      </w:r>
      <w:r w:rsidRPr="0003060E">
        <w:rPr>
          <w:rFonts w:asciiTheme="minorHAnsi" w:hAnsiTheme="minorHAnsi" w:cstheme="minorHAnsi"/>
        </w:rPr>
        <w:t xml:space="preserve"> confounded those who still</w:t>
      </w:r>
      <w:r w:rsidR="004F6A4F" w:rsidRPr="0003060E">
        <w:rPr>
          <w:rFonts w:asciiTheme="minorHAnsi" w:hAnsiTheme="minorHAnsi" w:cstheme="minorHAnsi"/>
        </w:rPr>
        <w:t xml:space="preserve"> around</w:t>
      </w:r>
      <w:r w:rsidRPr="0003060E">
        <w:rPr>
          <w:rFonts w:asciiTheme="minorHAnsi" w:hAnsiTheme="minorHAnsi" w:cstheme="minorHAnsi"/>
        </w:rPr>
        <w:t xml:space="preserve"> the 1990s were suggesting that “Asian values” of harmonious dispute resolution explained the </w:t>
      </w:r>
      <w:r w:rsidR="00DD4ECB" w:rsidRPr="0003060E">
        <w:rPr>
          <w:rFonts w:asciiTheme="minorHAnsi" w:hAnsiTheme="minorHAnsi" w:cstheme="minorHAnsi"/>
        </w:rPr>
        <w:t xml:space="preserve">paucity </w:t>
      </w:r>
      <w:r w:rsidRPr="0003060E">
        <w:rPr>
          <w:rFonts w:asciiTheme="minorHAnsi" w:hAnsiTheme="minorHAnsi" w:cstheme="minorHAnsi"/>
        </w:rPr>
        <w:t>of arbitration filings in the region.</w:t>
      </w:r>
      <w:r w:rsidRPr="0003060E">
        <w:rPr>
          <w:rStyle w:val="FootnoteReference"/>
          <w:rFonts w:asciiTheme="minorHAnsi" w:hAnsiTheme="minorHAnsi" w:cstheme="minorHAnsi"/>
        </w:rPr>
        <w:footnoteReference w:id="15"/>
      </w:r>
      <w:r w:rsidRPr="0003060E">
        <w:rPr>
          <w:rFonts w:asciiTheme="minorHAnsi" w:hAnsiTheme="minorHAnsi" w:cstheme="minorHAnsi"/>
        </w:rPr>
        <w:t xml:space="preserve"> The expansion has</w:t>
      </w:r>
      <w:r w:rsidR="00DD4ECB" w:rsidRPr="0003060E">
        <w:rPr>
          <w:rFonts w:asciiTheme="minorHAnsi" w:hAnsiTheme="minorHAnsi" w:cstheme="minorHAnsi"/>
        </w:rPr>
        <w:t xml:space="preserve"> instead been underpinned by</w:t>
      </w:r>
      <w:r w:rsidRPr="0003060E">
        <w:rPr>
          <w:rFonts w:asciiTheme="minorHAnsi" w:hAnsiTheme="minorHAnsi" w:cstheme="minorHAnsi"/>
        </w:rPr>
        <w:t xml:space="preserve"> most of the </w:t>
      </w:r>
      <w:r w:rsidR="00DD4ECB" w:rsidRPr="0003060E">
        <w:rPr>
          <w:rFonts w:asciiTheme="minorHAnsi" w:hAnsiTheme="minorHAnsi" w:cstheme="minorHAnsi"/>
        </w:rPr>
        <w:t xml:space="preserve">factors </w:t>
      </w:r>
      <w:r w:rsidRPr="0003060E">
        <w:rPr>
          <w:rFonts w:asciiTheme="minorHAnsi" w:hAnsiTheme="minorHAnsi" w:cstheme="minorHAnsi"/>
        </w:rPr>
        <w:t>identified by Anselmo Reyes and Weixia</w:t>
      </w:r>
      <w:r w:rsidR="004F6A4F" w:rsidRPr="0003060E">
        <w:rPr>
          <w:rFonts w:asciiTheme="minorHAnsi" w:hAnsiTheme="minorHAnsi" w:cstheme="minorHAnsi"/>
        </w:rPr>
        <w:t xml:space="preserve"> Gu</w:t>
      </w:r>
      <w:r w:rsidRPr="0003060E">
        <w:rPr>
          <w:rFonts w:asciiTheme="minorHAnsi" w:hAnsiTheme="minorHAnsi" w:cstheme="minorHAnsi"/>
        </w:rPr>
        <w:t>.</w:t>
      </w:r>
      <w:r w:rsidR="002E7AF7" w:rsidRPr="0003060E">
        <w:rPr>
          <w:rStyle w:val="FootnoteReference"/>
          <w:rFonts w:asciiTheme="minorHAnsi" w:hAnsiTheme="minorHAnsi" w:cstheme="minorHAnsi"/>
        </w:rPr>
        <w:footnoteReference w:id="16"/>
      </w:r>
      <w:r w:rsidR="00DD4ECB" w:rsidRPr="0003060E">
        <w:rPr>
          <w:rFonts w:asciiTheme="minorHAnsi" w:hAnsiTheme="minorHAnsi" w:cstheme="minorHAnsi"/>
        </w:rPr>
        <w:t xml:space="preserve"> First, almost all Asian jurisdictions have adopted the 1958 New York Convention on the Recognition and Enforcement of Foreign Arbitration Awards (NYC). Many have then adopted the ML to underpin locally seated international arbitrations, and indeed often domestic arbitrations (as in Japan, Korea, India in 1996, Thailand in 2002 and Malaysia in 2005).</w:t>
      </w:r>
      <w:r w:rsidR="00DD4ECB" w:rsidRPr="0003060E">
        <w:rPr>
          <w:rStyle w:val="FootnoteReference"/>
          <w:rFonts w:asciiTheme="minorHAnsi" w:hAnsiTheme="minorHAnsi" w:cstheme="minorHAnsi"/>
        </w:rPr>
        <w:footnoteReference w:id="17"/>
      </w:r>
    </w:p>
    <w:p w14:paraId="60322D7A" w14:textId="34D8ECD3" w:rsidR="005126E0" w:rsidRPr="0003060E" w:rsidRDefault="00DD4ECB" w:rsidP="00E76D41">
      <w:pPr>
        <w:spacing w:before="120"/>
        <w:jc w:val="both"/>
        <w:rPr>
          <w:rFonts w:asciiTheme="minorHAnsi" w:hAnsiTheme="minorHAnsi" w:cstheme="minorHAnsi"/>
        </w:rPr>
      </w:pPr>
      <w:r w:rsidRPr="0003060E">
        <w:rPr>
          <w:rFonts w:asciiTheme="minorHAnsi" w:hAnsiTheme="minorHAnsi" w:cstheme="minorHAnsi"/>
        </w:rPr>
        <w:t xml:space="preserve">Secondly, we can see the gradual spread of “pro-arbitration” judgments – rendered consistently with the wording and spirit of these two international instruments and other core IA principles. Increasingly </w:t>
      </w:r>
      <w:r w:rsidR="002338D5" w:rsidRPr="0003060E">
        <w:rPr>
          <w:rFonts w:asciiTheme="minorHAnsi" w:hAnsiTheme="minorHAnsi" w:cstheme="minorHAnsi"/>
        </w:rPr>
        <w:t>such judgments</w:t>
      </w:r>
      <w:r w:rsidRPr="0003060E">
        <w:rPr>
          <w:rFonts w:asciiTheme="minorHAnsi" w:hAnsiTheme="minorHAnsi" w:cstheme="minorHAnsi"/>
        </w:rPr>
        <w:t xml:space="preserve"> “cross-fertilise” each other, including intra-regionally</w:t>
      </w:r>
      <w:r w:rsidR="002338D5" w:rsidRPr="0003060E">
        <w:rPr>
          <w:rFonts w:asciiTheme="minorHAnsi" w:hAnsiTheme="minorHAnsi" w:cstheme="minorHAnsi"/>
        </w:rPr>
        <w:t>, especially among those in a similar legal tradition</w:t>
      </w:r>
      <w:r w:rsidRPr="0003060E">
        <w:rPr>
          <w:rFonts w:asciiTheme="minorHAnsi" w:hAnsiTheme="minorHAnsi" w:cstheme="minorHAnsi"/>
        </w:rPr>
        <w:t>. A good example is the growing deference by seat and foreign enforcement courts to procedural rulings by arbitrators.</w:t>
      </w:r>
      <w:r w:rsidR="002338D5" w:rsidRPr="0003060E">
        <w:rPr>
          <w:rFonts w:asciiTheme="minorHAnsi" w:hAnsiTheme="minorHAnsi" w:cstheme="minorHAnsi"/>
        </w:rPr>
        <w:t xml:space="preserve"> </w:t>
      </w:r>
      <w:r w:rsidRPr="0003060E">
        <w:rPr>
          <w:rFonts w:asciiTheme="minorHAnsi" w:hAnsiTheme="minorHAnsi" w:cstheme="minorHAnsi"/>
        </w:rPr>
        <w:t xml:space="preserve">English and American </w:t>
      </w:r>
      <w:r w:rsidR="002338D5" w:rsidRPr="0003060E">
        <w:rPr>
          <w:rFonts w:asciiTheme="minorHAnsi" w:hAnsiTheme="minorHAnsi" w:cstheme="minorHAnsi"/>
        </w:rPr>
        <w:t xml:space="preserve">superior </w:t>
      </w:r>
      <w:r w:rsidRPr="0003060E">
        <w:rPr>
          <w:rFonts w:asciiTheme="minorHAnsi" w:hAnsiTheme="minorHAnsi" w:cstheme="minorHAnsi"/>
        </w:rPr>
        <w:t xml:space="preserve">courts </w:t>
      </w:r>
      <w:r w:rsidR="002338D5" w:rsidRPr="0003060E">
        <w:rPr>
          <w:rFonts w:asciiTheme="minorHAnsi" w:hAnsiTheme="minorHAnsi" w:cstheme="minorHAnsi"/>
        </w:rPr>
        <w:t xml:space="preserve">from the 1970s and 1980s limited the scope of the “public policy” exception to award enforcement to the most fundamental notions of justice or morality within the relevant jurisdiction, interpreted in an internationalist spirit. This conception spread first to Hong Kong courts in the 1990s, then the Singaporean courts in the 2000s, and </w:t>
      </w:r>
      <w:r w:rsidR="004F6A4F" w:rsidRPr="0003060E">
        <w:rPr>
          <w:rFonts w:asciiTheme="minorHAnsi" w:hAnsiTheme="minorHAnsi" w:cstheme="minorHAnsi"/>
        </w:rPr>
        <w:t>through</w:t>
      </w:r>
      <w:r w:rsidR="002338D5" w:rsidRPr="0003060E">
        <w:rPr>
          <w:rFonts w:asciiTheme="minorHAnsi" w:hAnsiTheme="minorHAnsi" w:cstheme="minorHAnsi"/>
        </w:rPr>
        <w:t xml:space="preserve"> the Australian courts notably from around 2010.</w:t>
      </w:r>
      <w:r w:rsidR="002338D5" w:rsidRPr="0003060E">
        <w:rPr>
          <w:rStyle w:val="FootnoteReference"/>
          <w:rFonts w:asciiTheme="minorHAnsi" w:hAnsiTheme="minorHAnsi" w:cstheme="minorHAnsi"/>
        </w:rPr>
        <w:footnoteReference w:id="18"/>
      </w:r>
      <w:r w:rsidR="002338D5" w:rsidRPr="0003060E">
        <w:rPr>
          <w:rFonts w:asciiTheme="minorHAnsi" w:hAnsiTheme="minorHAnsi" w:cstheme="minorHAnsi"/>
        </w:rPr>
        <w:t xml:space="preserve"> Another example of a pro-arbitration shift in case law comes from the Supreme Court of India from around 2012, retreating from various decisions that generated widespread criticism as overly interventionist first in domestic and then international arbitrations.</w:t>
      </w:r>
      <w:r w:rsidR="00F51083" w:rsidRPr="0003060E">
        <w:rPr>
          <w:rStyle w:val="FootnoteReference"/>
          <w:rFonts w:asciiTheme="minorHAnsi" w:hAnsiTheme="minorHAnsi" w:cstheme="minorHAnsi"/>
        </w:rPr>
        <w:footnoteReference w:id="19"/>
      </w:r>
      <w:r w:rsidR="002338D5" w:rsidRPr="0003060E">
        <w:rPr>
          <w:rFonts w:asciiTheme="minorHAnsi" w:hAnsiTheme="minorHAnsi" w:cstheme="minorHAnsi"/>
        </w:rPr>
        <w:t xml:space="preserve"> The more positive case law developments over the last decade have prompted major legislative amendments from 2015, although </w:t>
      </w:r>
      <w:r w:rsidR="00056D16" w:rsidRPr="0003060E">
        <w:rPr>
          <w:rFonts w:asciiTheme="minorHAnsi" w:hAnsiTheme="minorHAnsi" w:cstheme="minorHAnsi"/>
        </w:rPr>
        <w:t>one commentator recently describes some 2019 revisions as</w:t>
      </w:r>
      <w:r w:rsidR="002338D5" w:rsidRPr="0003060E">
        <w:rPr>
          <w:rFonts w:asciiTheme="minorHAnsi" w:hAnsiTheme="minorHAnsi" w:cstheme="minorHAnsi"/>
        </w:rPr>
        <w:t xml:space="preserve"> “</w:t>
      </w:r>
      <w:r w:rsidR="00056D16" w:rsidRPr="0003060E">
        <w:rPr>
          <w:rFonts w:asciiTheme="minorHAnsi" w:hAnsiTheme="minorHAnsi" w:cstheme="minorHAnsi"/>
        </w:rPr>
        <w:t>one</w:t>
      </w:r>
      <w:r w:rsidR="002338D5" w:rsidRPr="0003060E">
        <w:rPr>
          <w:rFonts w:asciiTheme="minorHAnsi" w:hAnsiTheme="minorHAnsi" w:cstheme="minorHAnsi"/>
        </w:rPr>
        <w:t xml:space="preserve"> step</w:t>
      </w:r>
      <w:r w:rsidR="00056D16" w:rsidRPr="0003060E">
        <w:rPr>
          <w:rFonts w:asciiTheme="minorHAnsi" w:hAnsiTheme="minorHAnsi" w:cstheme="minorHAnsi"/>
        </w:rPr>
        <w:t xml:space="preserve"> </w:t>
      </w:r>
      <w:r w:rsidR="002338D5" w:rsidRPr="0003060E">
        <w:rPr>
          <w:rFonts w:asciiTheme="minorHAnsi" w:hAnsiTheme="minorHAnsi" w:cstheme="minorHAnsi"/>
        </w:rPr>
        <w:t xml:space="preserve">forward, </w:t>
      </w:r>
      <w:r w:rsidR="00056D16" w:rsidRPr="0003060E">
        <w:rPr>
          <w:rFonts w:asciiTheme="minorHAnsi" w:hAnsiTheme="minorHAnsi" w:cstheme="minorHAnsi"/>
        </w:rPr>
        <w:t>two</w:t>
      </w:r>
      <w:r w:rsidR="002338D5" w:rsidRPr="0003060E">
        <w:rPr>
          <w:rFonts w:asciiTheme="minorHAnsi" w:hAnsiTheme="minorHAnsi" w:cstheme="minorHAnsi"/>
        </w:rPr>
        <w:t xml:space="preserve"> step</w:t>
      </w:r>
      <w:r w:rsidR="00056D16" w:rsidRPr="0003060E">
        <w:rPr>
          <w:rFonts w:asciiTheme="minorHAnsi" w:hAnsiTheme="minorHAnsi" w:cstheme="minorHAnsi"/>
        </w:rPr>
        <w:t>s</w:t>
      </w:r>
      <w:r w:rsidR="002338D5" w:rsidRPr="0003060E">
        <w:rPr>
          <w:rFonts w:asciiTheme="minorHAnsi" w:hAnsiTheme="minorHAnsi" w:cstheme="minorHAnsi"/>
        </w:rPr>
        <w:t xml:space="preserve"> back</w:t>
      </w:r>
      <w:r w:rsidR="00056D16" w:rsidRPr="0003060E">
        <w:rPr>
          <w:rFonts w:asciiTheme="minorHAnsi" w:hAnsiTheme="minorHAnsi" w:cstheme="minorHAnsi"/>
        </w:rPr>
        <w:t>ward</w:t>
      </w:r>
      <w:r w:rsidR="002338D5" w:rsidRPr="0003060E">
        <w:rPr>
          <w:rFonts w:asciiTheme="minorHAnsi" w:hAnsiTheme="minorHAnsi" w:cstheme="minorHAnsi"/>
        </w:rPr>
        <w:t>”.</w:t>
      </w:r>
      <w:r w:rsidR="002338D5" w:rsidRPr="0003060E">
        <w:rPr>
          <w:rStyle w:val="FootnoteReference"/>
          <w:rFonts w:asciiTheme="minorHAnsi" w:hAnsiTheme="minorHAnsi" w:cstheme="minorHAnsi"/>
        </w:rPr>
        <w:footnoteReference w:id="20"/>
      </w:r>
    </w:p>
    <w:p w14:paraId="0BD0F2A1" w14:textId="0957DED1" w:rsidR="00B64CC3" w:rsidRPr="0003060E" w:rsidRDefault="002338D5" w:rsidP="00E76D41">
      <w:pPr>
        <w:spacing w:before="120"/>
        <w:jc w:val="both"/>
        <w:rPr>
          <w:rFonts w:asciiTheme="minorHAnsi" w:hAnsiTheme="minorHAnsi" w:cstheme="minorHAnsi"/>
        </w:rPr>
      </w:pPr>
      <w:r w:rsidRPr="0003060E">
        <w:rPr>
          <w:rFonts w:asciiTheme="minorHAnsi" w:hAnsiTheme="minorHAnsi" w:cstheme="minorHAnsi"/>
        </w:rPr>
        <w:lastRenderedPageBreak/>
        <w:t xml:space="preserve">Thirdly, the expansion and growing sophistication of IA in many Asian jurisdictions has been undergirded by </w:t>
      </w:r>
      <w:r w:rsidR="00F51083" w:rsidRPr="0003060E">
        <w:rPr>
          <w:rFonts w:asciiTheme="minorHAnsi" w:hAnsiTheme="minorHAnsi" w:cstheme="minorHAnsi"/>
        </w:rPr>
        <w:t xml:space="preserve">the </w:t>
      </w:r>
      <w:r w:rsidR="00E974AC" w:rsidRPr="0003060E">
        <w:rPr>
          <w:rFonts w:asciiTheme="minorHAnsi" w:hAnsiTheme="minorHAnsi" w:cstheme="minorHAnsi"/>
        </w:rPr>
        <w:t>establishment</w:t>
      </w:r>
      <w:r w:rsidR="00F51083" w:rsidRPr="0003060E">
        <w:rPr>
          <w:rFonts w:asciiTheme="minorHAnsi" w:hAnsiTheme="minorHAnsi" w:cstheme="minorHAnsi"/>
        </w:rPr>
        <w:t xml:space="preserve"> of at least one national dedicated arbitration institution</w:t>
      </w:r>
      <w:r w:rsidR="002543A2" w:rsidRPr="0003060E">
        <w:rPr>
          <w:rFonts w:asciiTheme="minorHAnsi" w:hAnsiTheme="minorHAnsi" w:cstheme="minorHAnsi"/>
        </w:rPr>
        <w:t>. (However,</w:t>
      </w:r>
      <w:r w:rsidR="00F51083" w:rsidRPr="0003060E">
        <w:rPr>
          <w:rFonts w:asciiTheme="minorHAnsi" w:hAnsiTheme="minorHAnsi" w:cstheme="minorHAnsi"/>
        </w:rPr>
        <w:t xml:space="preserve"> this aspect does remain a work in progress in India – with its long and comparatively unusual tradition of ad hoc arbitrations</w:t>
      </w:r>
      <w:r w:rsidR="002543A2" w:rsidRPr="0003060E">
        <w:rPr>
          <w:rFonts w:asciiTheme="minorHAnsi" w:hAnsiTheme="minorHAnsi" w:cstheme="minorHAnsi"/>
        </w:rPr>
        <w:t xml:space="preserve"> – and China is also distinctive for having so many arbitration centres, often supported by local governments</w:t>
      </w:r>
      <w:r w:rsidR="00F51083" w:rsidRPr="0003060E">
        <w:rPr>
          <w:rFonts w:asciiTheme="minorHAnsi" w:hAnsiTheme="minorHAnsi" w:cstheme="minorHAnsi"/>
        </w:rPr>
        <w:t>.</w:t>
      </w:r>
      <w:r w:rsidR="002543A2" w:rsidRPr="0003060E">
        <w:rPr>
          <w:rFonts w:asciiTheme="minorHAnsi" w:hAnsiTheme="minorHAnsi" w:cstheme="minorHAnsi"/>
        </w:rPr>
        <w:t>)</w:t>
      </w:r>
      <w:r w:rsidR="00F51083" w:rsidRPr="0003060E">
        <w:rPr>
          <w:rFonts w:asciiTheme="minorHAnsi" w:hAnsiTheme="minorHAnsi" w:cstheme="minorHAnsi"/>
        </w:rPr>
        <w:t xml:space="preserve"> Relatedly, the most successful regional hubs </w:t>
      </w:r>
      <w:r w:rsidR="004F6A4F" w:rsidRPr="0003060E">
        <w:rPr>
          <w:rFonts w:asciiTheme="minorHAnsi" w:hAnsiTheme="minorHAnsi" w:cstheme="minorHAnsi"/>
        </w:rPr>
        <w:t xml:space="preserve">further </w:t>
      </w:r>
      <w:r w:rsidR="00F51083" w:rsidRPr="0003060E">
        <w:rPr>
          <w:rFonts w:asciiTheme="minorHAnsi" w:hAnsiTheme="minorHAnsi" w:cstheme="minorHAnsi"/>
        </w:rPr>
        <w:t>offer supportive arbitration “infrastructure”, including university-level and professional training for arbitrators and counsel, internationalised law firms and proliferating arbitration-related events.</w:t>
      </w:r>
      <w:r w:rsidR="00F51083" w:rsidRPr="0003060E">
        <w:rPr>
          <w:rStyle w:val="FootnoteReference"/>
          <w:rFonts w:asciiTheme="minorHAnsi" w:hAnsiTheme="minorHAnsi" w:cstheme="minorHAnsi"/>
        </w:rPr>
        <w:footnoteReference w:id="21"/>
      </w:r>
      <w:r w:rsidR="00F51083" w:rsidRPr="0003060E">
        <w:rPr>
          <w:rFonts w:asciiTheme="minorHAnsi" w:hAnsiTheme="minorHAnsi" w:cstheme="minorHAnsi"/>
        </w:rPr>
        <w:t xml:space="preserve"> Some of the individuals and organisations spearheading such initiatives in the “periphery” initially brought back “symbolic capital” from the Western traditional “core”, as noted by legal sociologists analysing the worldwide spread of IA over the 1980s and 1990s.</w:t>
      </w:r>
      <w:r w:rsidR="00F51083" w:rsidRPr="0003060E">
        <w:rPr>
          <w:rStyle w:val="FootnoteReference"/>
          <w:rFonts w:asciiTheme="minorHAnsi" w:hAnsiTheme="minorHAnsi" w:cstheme="minorHAnsi"/>
        </w:rPr>
        <w:footnoteReference w:id="22"/>
      </w:r>
      <w:r w:rsidR="00F51083" w:rsidRPr="0003060E">
        <w:rPr>
          <w:rFonts w:asciiTheme="minorHAnsi" w:hAnsiTheme="minorHAnsi" w:cstheme="minorHAnsi"/>
        </w:rPr>
        <w:t xml:space="preserve"> </w:t>
      </w:r>
      <w:r w:rsidR="00B64CC3" w:rsidRPr="0003060E">
        <w:rPr>
          <w:rFonts w:asciiTheme="minorHAnsi" w:hAnsiTheme="minorHAnsi" w:cstheme="minorHAnsi"/>
        </w:rPr>
        <w:t>But we also see now symbolic capital (not just tangible experience and remuneration) being achieved by locals and expatriates in the key regional hubs, like Singapore, and then being mobilised to promote and cross-fertilise IA in neighbouring or inter-linked economies.</w:t>
      </w:r>
    </w:p>
    <w:p w14:paraId="5D23EB8A" w14:textId="434317AC" w:rsidR="000B55D4" w:rsidRPr="0003060E" w:rsidRDefault="00F51083" w:rsidP="00E76D41">
      <w:pPr>
        <w:spacing w:before="120"/>
        <w:jc w:val="both"/>
        <w:rPr>
          <w:rFonts w:asciiTheme="minorHAnsi" w:hAnsiTheme="minorHAnsi" w:cstheme="minorHAnsi"/>
        </w:rPr>
      </w:pPr>
      <w:r w:rsidRPr="0003060E">
        <w:rPr>
          <w:rFonts w:asciiTheme="minorHAnsi" w:hAnsiTheme="minorHAnsi" w:cstheme="minorHAnsi"/>
        </w:rPr>
        <w:t>More recently, this</w:t>
      </w:r>
      <w:r w:rsidR="00B64CC3" w:rsidRPr="0003060E">
        <w:rPr>
          <w:rFonts w:asciiTheme="minorHAnsi" w:hAnsiTheme="minorHAnsi" w:cstheme="minorHAnsi"/>
        </w:rPr>
        <w:t xml:space="preserve"> dynamic and</w:t>
      </w:r>
      <w:r w:rsidR="009300F1" w:rsidRPr="0003060E">
        <w:rPr>
          <w:rFonts w:asciiTheme="minorHAnsi" w:hAnsiTheme="minorHAnsi" w:cstheme="minorHAnsi"/>
        </w:rPr>
        <w:t xml:space="preserve"> </w:t>
      </w:r>
      <w:r w:rsidR="00930BB2" w:rsidRPr="0003060E">
        <w:rPr>
          <w:rFonts w:asciiTheme="minorHAnsi" w:hAnsiTheme="minorHAnsi" w:cstheme="minorHAnsi"/>
        </w:rPr>
        <w:t xml:space="preserve">therefore </w:t>
      </w:r>
      <w:r w:rsidR="009300F1" w:rsidRPr="0003060E">
        <w:rPr>
          <w:rFonts w:asciiTheme="minorHAnsi" w:hAnsiTheme="minorHAnsi" w:cstheme="minorHAnsi"/>
        </w:rPr>
        <w:t>a</w:t>
      </w:r>
      <w:r w:rsidR="00B64CC3" w:rsidRPr="0003060E">
        <w:rPr>
          <w:rFonts w:asciiTheme="minorHAnsi" w:hAnsiTheme="minorHAnsi" w:cstheme="minorHAnsi"/>
        </w:rPr>
        <w:t xml:space="preserve"> growing</w:t>
      </w:r>
      <w:r w:rsidRPr="0003060E">
        <w:rPr>
          <w:rFonts w:asciiTheme="minorHAnsi" w:hAnsiTheme="minorHAnsi" w:cstheme="minorHAnsi"/>
        </w:rPr>
        <w:t xml:space="preserve"> network </w:t>
      </w:r>
      <w:r w:rsidR="00B64CC3" w:rsidRPr="0003060E">
        <w:rPr>
          <w:rFonts w:asciiTheme="minorHAnsi" w:hAnsiTheme="minorHAnsi" w:cstheme="minorHAnsi"/>
        </w:rPr>
        <w:t>of IA specialists ha</w:t>
      </w:r>
      <w:r w:rsidR="00815E91" w:rsidRPr="0003060E">
        <w:rPr>
          <w:rFonts w:asciiTheme="minorHAnsi" w:hAnsiTheme="minorHAnsi" w:cstheme="minorHAnsi"/>
        </w:rPr>
        <w:t>s</w:t>
      </w:r>
      <w:r w:rsidR="00B64CC3" w:rsidRPr="0003060E">
        <w:rPr>
          <w:rFonts w:asciiTheme="minorHAnsi" w:hAnsiTheme="minorHAnsi" w:cstheme="minorHAnsi"/>
        </w:rPr>
        <w:t xml:space="preserve"> supported the gradual spread of ISA in or involving Asia. </w:t>
      </w:r>
      <w:r w:rsidR="009300F1" w:rsidRPr="0003060E">
        <w:rPr>
          <w:rFonts w:asciiTheme="minorHAnsi" w:hAnsiTheme="minorHAnsi" w:cstheme="minorHAnsi"/>
        </w:rPr>
        <w:t>B</w:t>
      </w:r>
      <w:r w:rsidR="00B64CC3" w:rsidRPr="0003060E">
        <w:rPr>
          <w:rFonts w:asciiTheme="minorHAnsi" w:hAnsiTheme="minorHAnsi" w:cstheme="minorHAnsi"/>
        </w:rPr>
        <w:t xml:space="preserve">urgeoning and new types of </w:t>
      </w:r>
      <w:r w:rsidR="004F6A4F" w:rsidRPr="0003060E">
        <w:rPr>
          <w:rFonts w:asciiTheme="minorHAnsi" w:hAnsiTheme="minorHAnsi" w:cstheme="minorHAnsi"/>
        </w:rPr>
        <w:t>FDI</w:t>
      </w:r>
      <w:r w:rsidR="00B64CC3" w:rsidRPr="0003060E">
        <w:rPr>
          <w:rFonts w:asciiTheme="minorHAnsi" w:hAnsiTheme="minorHAnsi" w:cstheme="minorHAnsi"/>
        </w:rPr>
        <w:t xml:space="preserve"> have generated more disputes</w:t>
      </w:r>
      <w:r w:rsidR="00930BB2" w:rsidRPr="0003060E">
        <w:rPr>
          <w:rFonts w:asciiTheme="minorHAnsi" w:hAnsiTheme="minorHAnsi" w:cstheme="minorHAnsi"/>
        </w:rPr>
        <w:t xml:space="preserve"> between foreign investors and host states</w:t>
      </w:r>
      <w:r w:rsidR="00B64CC3" w:rsidRPr="0003060E">
        <w:rPr>
          <w:rFonts w:asciiTheme="minorHAnsi" w:hAnsiTheme="minorHAnsi" w:cstheme="minorHAnsi"/>
        </w:rPr>
        <w:t xml:space="preserve">. </w:t>
      </w:r>
      <w:r w:rsidR="00930BB2" w:rsidRPr="0003060E">
        <w:rPr>
          <w:rFonts w:asciiTheme="minorHAnsi" w:hAnsiTheme="minorHAnsi" w:cstheme="minorHAnsi"/>
        </w:rPr>
        <w:t>M</w:t>
      </w:r>
      <w:r w:rsidR="00B64CC3" w:rsidRPr="0003060E">
        <w:rPr>
          <w:rFonts w:asciiTheme="minorHAnsi" w:hAnsiTheme="minorHAnsi" w:cstheme="minorHAnsi"/>
        </w:rPr>
        <w:t xml:space="preserve">ore treaties have been ratified particularly since the 1990s, increasingly adding </w:t>
      </w:r>
      <w:r w:rsidR="00930BB2" w:rsidRPr="0003060E">
        <w:rPr>
          <w:rFonts w:asciiTheme="minorHAnsi" w:hAnsiTheme="minorHAnsi" w:cstheme="minorHAnsi"/>
        </w:rPr>
        <w:t>full</w:t>
      </w:r>
      <w:r w:rsidR="00B64CC3" w:rsidRPr="0003060E">
        <w:rPr>
          <w:rFonts w:asciiTheme="minorHAnsi" w:hAnsiTheme="minorHAnsi" w:cstheme="minorHAnsi"/>
        </w:rPr>
        <w:t xml:space="preserve"> advance consent to ISDS </w:t>
      </w:r>
      <w:r w:rsidR="00930BB2" w:rsidRPr="0003060E">
        <w:rPr>
          <w:rFonts w:asciiTheme="minorHAnsi" w:hAnsiTheme="minorHAnsi" w:cstheme="minorHAnsi"/>
        </w:rPr>
        <w:t>arbitration, not only for developing economies in particular to attract more FDI but also to support their growing outbound investments</w:t>
      </w:r>
      <w:r w:rsidR="00B64CC3" w:rsidRPr="0003060E">
        <w:rPr>
          <w:rFonts w:asciiTheme="minorHAnsi" w:hAnsiTheme="minorHAnsi" w:cstheme="minorHAnsi"/>
        </w:rPr>
        <w:t>.</w:t>
      </w:r>
      <w:r w:rsidR="00930BB2" w:rsidRPr="0003060E">
        <w:rPr>
          <w:rStyle w:val="FootnoteReference"/>
          <w:rFonts w:asciiTheme="minorHAnsi" w:hAnsiTheme="minorHAnsi" w:cstheme="minorHAnsi"/>
        </w:rPr>
        <w:footnoteReference w:id="23"/>
      </w:r>
      <w:r w:rsidR="00B64CC3" w:rsidRPr="0003060E">
        <w:rPr>
          <w:rFonts w:asciiTheme="minorHAnsi" w:hAnsiTheme="minorHAnsi" w:cstheme="minorHAnsi"/>
        </w:rPr>
        <w:t xml:space="preserve"> Most Asian states have further </w:t>
      </w:r>
      <w:r w:rsidR="009300F1" w:rsidRPr="0003060E">
        <w:rPr>
          <w:rFonts w:asciiTheme="minorHAnsi" w:hAnsiTheme="minorHAnsi" w:cstheme="minorHAnsi"/>
        </w:rPr>
        <w:t>ratified</w:t>
      </w:r>
      <w:r w:rsidR="00B64CC3" w:rsidRPr="0003060E">
        <w:rPr>
          <w:rFonts w:asciiTheme="minorHAnsi" w:hAnsiTheme="minorHAnsi" w:cstheme="minorHAnsi"/>
        </w:rPr>
        <w:t xml:space="preserve"> the framework 1965 Washington Convention establishing </w:t>
      </w:r>
      <w:r w:rsidR="00930BB2" w:rsidRPr="0003060E">
        <w:rPr>
          <w:rFonts w:asciiTheme="minorHAnsi" w:hAnsiTheme="minorHAnsi" w:cstheme="minorHAnsi"/>
        </w:rPr>
        <w:t>the International Centre for the Settlement of Investment Disputes (ICSID)</w:t>
      </w:r>
      <w:r w:rsidR="00B64CC3" w:rsidRPr="0003060E">
        <w:rPr>
          <w:rFonts w:asciiTheme="minorHAnsi" w:hAnsiTheme="minorHAnsi" w:cstheme="minorHAnsi"/>
        </w:rPr>
        <w:t xml:space="preserve">, </w:t>
      </w:r>
      <w:r w:rsidR="009300F1" w:rsidRPr="0003060E">
        <w:rPr>
          <w:rFonts w:asciiTheme="minorHAnsi" w:hAnsiTheme="minorHAnsi" w:cstheme="minorHAnsi"/>
        </w:rPr>
        <w:t xml:space="preserve">although there remain exceptions </w:t>
      </w:r>
      <w:r w:rsidR="002543A2" w:rsidRPr="0003060E">
        <w:rPr>
          <w:rFonts w:asciiTheme="minorHAnsi" w:hAnsiTheme="minorHAnsi" w:cstheme="minorHAnsi"/>
        </w:rPr>
        <w:t>across major Asian economies</w:t>
      </w:r>
      <w:r w:rsidR="009300F1" w:rsidRPr="0003060E">
        <w:rPr>
          <w:rFonts w:asciiTheme="minorHAnsi" w:hAnsiTheme="minorHAnsi" w:cstheme="minorHAnsi"/>
        </w:rPr>
        <w:t xml:space="preserve"> (</w:t>
      </w:r>
      <w:r w:rsidR="002543A2" w:rsidRPr="0003060E">
        <w:rPr>
          <w:rFonts w:asciiTheme="minorHAnsi" w:hAnsiTheme="minorHAnsi" w:cstheme="minorHAnsi"/>
        </w:rPr>
        <w:t>especially</w:t>
      </w:r>
      <w:r w:rsidR="009300F1" w:rsidRPr="0003060E">
        <w:rPr>
          <w:rFonts w:asciiTheme="minorHAnsi" w:hAnsiTheme="minorHAnsi" w:cstheme="minorHAnsi"/>
        </w:rPr>
        <w:t xml:space="preserve"> India, Vietnam and Thailand).</w:t>
      </w:r>
      <w:r w:rsidR="009300F1" w:rsidRPr="0003060E">
        <w:rPr>
          <w:rStyle w:val="FootnoteReference"/>
          <w:rFonts w:asciiTheme="minorHAnsi" w:hAnsiTheme="minorHAnsi" w:cstheme="minorHAnsi"/>
        </w:rPr>
        <w:footnoteReference w:id="24"/>
      </w:r>
      <w:r w:rsidR="00930BB2" w:rsidRPr="0003060E">
        <w:rPr>
          <w:rFonts w:asciiTheme="minorHAnsi" w:hAnsiTheme="minorHAnsi" w:cstheme="minorHAnsi"/>
        </w:rPr>
        <w:t xml:space="preserve"> The Convention makes awards significantly easier to generate </w:t>
      </w:r>
      <w:r w:rsidR="002543A2" w:rsidRPr="0003060E">
        <w:rPr>
          <w:rFonts w:asciiTheme="minorHAnsi" w:hAnsiTheme="minorHAnsi" w:cstheme="minorHAnsi"/>
        </w:rPr>
        <w:t xml:space="preserve">(by not involving a seat court) </w:t>
      </w:r>
      <w:r w:rsidR="00930BB2" w:rsidRPr="0003060E">
        <w:rPr>
          <w:rFonts w:asciiTheme="minorHAnsi" w:hAnsiTheme="minorHAnsi" w:cstheme="minorHAnsi"/>
        </w:rPr>
        <w:t>and</w:t>
      </w:r>
      <w:r w:rsidR="002543A2" w:rsidRPr="0003060E">
        <w:rPr>
          <w:rFonts w:asciiTheme="minorHAnsi" w:hAnsiTheme="minorHAnsi" w:cstheme="minorHAnsi"/>
        </w:rPr>
        <w:t xml:space="preserve"> especially</w:t>
      </w:r>
      <w:r w:rsidR="00930BB2" w:rsidRPr="0003060E">
        <w:rPr>
          <w:rFonts w:asciiTheme="minorHAnsi" w:hAnsiTheme="minorHAnsi" w:cstheme="minorHAnsi"/>
        </w:rPr>
        <w:t xml:space="preserve"> </w:t>
      </w:r>
      <w:r w:rsidR="002543A2" w:rsidRPr="0003060E">
        <w:rPr>
          <w:rFonts w:asciiTheme="minorHAnsi" w:hAnsiTheme="minorHAnsi" w:cstheme="minorHAnsi"/>
        </w:rPr>
        <w:t xml:space="preserve">to </w:t>
      </w:r>
      <w:r w:rsidR="00930BB2" w:rsidRPr="0003060E">
        <w:rPr>
          <w:rFonts w:asciiTheme="minorHAnsi" w:hAnsiTheme="minorHAnsi" w:cstheme="minorHAnsi"/>
        </w:rPr>
        <w:t>enforce, so around two-thirds of ISA claims have been administered through ICSID</w:t>
      </w:r>
      <w:r w:rsidR="002543A2" w:rsidRPr="0003060E">
        <w:rPr>
          <w:rFonts w:asciiTheme="minorHAnsi" w:hAnsiTheme="minorHAnsi" w:cstheme="minorHAnsi"/>
        </w:rPr>
        <w:t>,</w:t>
      </w:r>
      <w:r w:rsidR="00930BB2" w:rsidRPr="0003060E">
        <w:rPr>
          <w:rFonts w:asciiTheme="minorHAnsi" w:hAnsiTheme="minorHAnsi" w:cstheme="minorHAnsi"/>
        </w:rPr>
        <w:t xml:space="preserve"> rather than being run ad hoc under UNCITRAL </w:t>
      </w:r>
      <w:r w:rsidR="004F6A4F" w:rsidRPr="0003060E">
        <w:rPr>
          <w:rFonts w:asciiTheme="minorHAnsi" w:hAnsiTheme="minorHAnsi" w:cstheme="minorHAnsi"/>
        </w:rPr>
        <w:t xml:space="preserve">Arbitration </w:t>
      </w:r>
      <w:r w:rsidR="00930BB2" w:rsidRPr="0003060E">
        <w:rPr>
          <w:rFonts w:asciiTheme="minorHAnsi" w:hAnsiTheme="minorHAnsi" w:cstheme="minorHAnsi"/>
        </w:rPr>
        <w:t>Rules</w:t>
      </w:r>
      <w:r w:rsidR="002543A2" w:rsidRPr="0003060E">
        <w:rPr>
          <w:rFonts w:asciiTheme="minorHAnsi" w:hAnsiTheme="minorHAnsi" w:cstheme="minorHAnsi"/>
        </w:rPr>
        <w:t xml:space="preserve"> (or occasionally under</w:t>
      </w:r>
      <w:r w:rsidR="004E3061" w:rsidRPr="0003060E">
        <w:rPr>
          <w:rFonts w:asciiTheme="minorHAnsi" w:hAnsiTheme="minorHAnsi" w:cstheme="minorHAnsi"/>
        </w:rPr>
        <w:t xml:space="preserve"> Rules of</w:t>
      </w:r>
      <w:r w:rsidR="002543A2" w:rsidRPr="0003060E">
        <w:rPr>
          <w:rFonts w:asciiTheme="minorHAnsi" w:hAnsiTheme="minorHAnsi" w:cstheme="minorHAnsi"/>
        </w:rPr>
        <w:t xml:space="preserve"> non-ICSID institutions like the ICC)</w:t>
      </w:r>
      <w:r w:rsidR="00930BB2" w:rsidRPr="0003060E">
        <w:rPr>
          <w:rFonts w:asciiTheme="minorHAnsi" w:hAnsiTheme="minorHAnsi" w:cstheme="minorHAnsi"/>
        </w:rPr>
        <w:t>.</w:t>
      </w:r>
      <w:r w:rsidR="00930BB2" w:rsidRPr="0003060E">
        <w:rPr>
          <w:rStyle w:val="FootnoteReference"/>
          <w:rFonts w:asciiTheme="minorHAnsi" w:hAnsiTheme="minorHAnsi" w:cstheme="minorHAnsi"/>
        </w:rPr>
        <w:footnoteReference w:id="25"/>
      </w:r>
      <w:r w:rsidR="00930BB2" w:rsidRPr="0003060E">
        <w:rPr>
          <w:rFonts w:asciiTheme="minorHAnsi" w:hAnsiTheme="minorHAnsi" w:cstheme="minorHAnsi"/>
        </w:rPr>
        <w:t xml:space="preserve"> </w:t>
      </w:r>
    </w:p>
    <w:p w14:paraId="0656FB24" w14:textId="0ECF8A09" w:rsidR="00B64CC3" w:rsidRPr="0003060E" w:rsidRDefault="000B55D4" w:rsidP="00E76D41">
      <w:pPr>
        <w:spacing w:before="120"/>
        <w:jc w:val="both"/>
        <w:rPr>
          <w:rFonts w:asciiTheme="minorHAnsi" w:hAnsiTheme="minorHAnsi" w:cstheme="minorHAnsi"/>
        </w:rPr>
      </w:pPr>
      <w:r w:rsidRPr="0003060E">
        <w:rPr>
          <w:rFonts w:asciiTheme="minorHAnsi" w:hAnsiTheme="minorHAnsi" w:cstheme="minorHAnsi"/>
        </w:rPr>
        <w:t>In addition, v</w:t>
      </w:r>
      <w:r w:rsidR="00930BB2" w:rsidRPr="0003060E">
        <w:rPr>
          <w:rFonts w:asciiTheme="minorHAnsi" w:hAnsiTheme="minorHAnsi" w:cstheme="minorHAnsi"/>
        </w:rPr>
        <w:t>arious “institutional barriers” to bringing or defending ISDS arbitration claims, such as lack of expert counsel and arbitrators in the region, are coming down.</w:t>
      </w:r>
      <w:r w:rsidR="00930BB2" w:rsidRPr="0003060E">
        <w:rPr>
          <w:rStyle w:val="FootnoteReference"/>
          <w:rFonts w:asciiTheme="minorHAnsi" w:hAnsiTheme="minorHAnsi" w:cstheme="minorHAnsi"/>
        </w:rPr>
        <w:footnoteReference w:id="26"/>
      </w:r>
      <w:r w:rsidR="00930BB2" w:rsidRPr="0003060E">
        <w:rPr>
          <w:rFonts w:asciiTheme="minorHAnsi" w:hAnsiTheme="minorHAnsi" w:cstheme="minorHAnsi"/>
        </w:rPr>
        <w:t xml:space="preserve"> </w:t>
      </w:r>
      <w:r w:rsidRPr="0003060E">
        <w:rPr>
          <w:rFonts w:asciiTheme="minorHAnsi" w:hAnsiTheme="minorHAnsi" w:cstheme="minorHAnsi"/>
        </w:rPr>
        <w:t>Accordingly, t</w:t>
      </w:r>
      <w:r w:rsidR="00930BB2" w:rsidRPr="0003060E">
        <w:rPr>
          <w:rFonts w:asciiTheme="minorHAnsi" w:hAnsiTheme="minorHAnsi" w:cstheme="minorHAnsi"/>
        </w:rPr>
        <w:t>he numbers and types of Asia-related claims are increasing – albeit off a comparatively low base, and in combination with efforts to better manage investment disputes before they escalate into formal ISDS arbitration claims.</w:t>
      </w:r>
      <w:r w:rsidR="00930BB2" w:rsidRPr="0003060E">
        <w:rPr>
          <w:rStyle w:val="FootnoteReference"/>
          <w:rFonts w:asciiTheme="minorHAnsi" w:hAnsiTheme="minorHAnsi" w:cstheme="minorHAnsi"/>
        </w:rPr>
        <w:footnoteReference w:id="27"/>
      </w:r>
      <w:r w:rsidRPr="0003060E">
        <w:rPr>
          <w:rFonts w:asciiTheme="minorHAnsi" w:hAnsiTheme="minorHAnsi" w:cstheme="minorHAnsi"/>
        </w:rPr>
        <w:t xml:space="preserve"> Asian states have rarely lost their first inbound </w:t>
      </w:r>
      <w:r w:rsidRPr="0003060E">
        <w:rPr>
          <w:rFonts w:asciiTheme="minorHAnsi" w:hAnsiTheme="minorHAnsi" w:cstheme="minorHAnsi"/>
        </w:rPr>
        <w:lastRenderedPageBreak/>
        <w:t>ISDS claims, so have not abandoned the ISA mechanism altogether (unlike Australia</w:t>
      </w:r>
      <w:r w:rsidR="004F6A4F" w:rsidRPr="0003060E">
        <w:rPr>
          <w:rFonts w:asciiTheme="minorHAnsi" w:hAnsiTheme="minorHAnsi" w:cstheme="minorHAnsi"/>
        </w:rPr>
        <w:t>, eschewing ISDS</w:t>
      </w:r>
      <w:r w:rsidRPr="0003060E">
        <w:rPr>
          <w:rFonts w:asciiTheme="minorHAnsi" w:hAnsiTheme="minorHAnsi" w:cstheme="minorHAnsi"/>
        </w:rPr>
        <w:t xml:space="preserve"> </w:t>
      </w:r>
      <w:r w:rsidR="004F6A4F" w:rsidRPr="0003060E">
        <w:rPr>
          <w:rFonts w:asciiTheme="minorHAnsi" w:hAnsiTheme="minorHAnsi" w:cstheme="minorHAnsi"/>
        </w:rPr>
        <w:t xml:space="preserve">for future treaties </w:t>
      </w:r>
      <w:r w:rsidRPr="0003060E">
        <w:rPr>
          <w:rFonts w:asciiTheme="minorHAnsi" w:hAnsiTheme="minorHAnsi" w:cstheme="minorHAnsi"/>
        </w:rPr>
        <w:t xml:space="preserve">over 2011-2013 </w:t>
      </w:r>
      <w:r w:rsidR="004F6A4F" w:rsidRPr="0003060E">
        <w:rPr>
          <w:rFonts w:asciiTheme="minorHAnsi" w:hAnsiTheme="minorHAnsi" w:cstheme="minorHAnsi"/>
        </w:rPr>
        <w:t xml:space="preserve">and again </w:t>
      </w:r>
      <w:r w:rsidRPr="0003060E">
        <w:rPr>
          <w:rFonts w:asciiTheme="minorHAnsi" w:hAnsiTheme="minorHAnsi" w:cstheme="minorHAnsi"/>
        </w:rPr>
        <w:t>from November 2022, or New Zealand from late 2017).</w:t>
      </w:r>
      <w:r w:rsidRPr="0003060E">
        <w:rPr>
          <w:rStyle w:val="FootnoteReference"/>
          <w:rFonts w:asciiTheme="minorHAnsi" w:hAnsiTheme="minorHAnsi" w:cstheme="minorHAnsi"/>
        </w:rPr>
        <w:footnoteReference w:id="28"/>
      </w:r>
      <w:r w:rsidRPr="0003060E">
        <w:rPr>
          <w:rFonts w:asciiTheme="minorHAnsi" w:hAnsiTheme="minorHAnsi" w:cstheme="minorHAnsi"/>
        </w:rPr>
        <w:t xml:space="preserve"> However, two states subjected to more inbound claims – Indonesia and especially India – have terminated some old treaties with a view to acceding to new ISDS-backed treaties drafted to provide fewer protections for foreign investors.</w:t>
      </w:r>
      <w:r w:rsidRPr="0003060E">
        <w:rPr>
          <w:rStyle w:val="FootnoteReference"/>
          <w:rFonts w:asciiTheme="minorHAnsi" w:hAnsiTheme="minorHAnsi" w:cstheme="minorHAnsi"/>
        </w:rPr>
        <w:footnoteReference w:id="29"/>
      </w:r>
      <w:r w:rsidRPr="0003060E">
        <w:rPr>
          <w:rFonts w:asciiTheme="minorHAnsi" w:hAnsiTheme="minorHAnsi" w:cstheme="minorHAnsi"/>
        </w:rPr>
        <w:t xml:space="preserve"> </w:t>
      </w:r>
      <w:r w:rsidR="00841F0F" w:rsidRPr="0003060E">
        <w:rPr>
          <w:rFonts w:asciiTheme="minorHAnsi" w:hAnsiTheme="minorHAnsi" w:cstheme="minorHAnsi"/>
        </w:rPr>
        <w:t>Some</w:t>
      </w:r>
      <w:r w:rsidRPr="0003060E">
        <w:rPr>
          <w:rFonts w:asciiTheme="minorHAnsi" w:hAnsiTheme="minorHAnsi" w:cstheme="minorHAnsi"/>
        </w:rPr>
        <w:t xml:space="preserve"> Asian states </w:t>
      </w:r>
      <w:r w:rsidR="00841F0F" w:rsidRPr="0003060E">
        <w:rPr>
          <w:rFonts w:asciiTheme="minorHAnsi" w:hAnsiTheme="minorHAnsi" w:cstheme="minorHAnsi"/>
        </w:rPr>
        <w:t xml:space="preserve">(Vietnam, Singapore, but not Japan) </w:t>
      </w:r>
      <w:r w:rsidRPr="0003060E">
        <w:rPr>
          <w:rFonts w:asciiTheme="minorHAnsi" w:hAnsiTheme="minorHAnsi" w:cstheme="minorHAnsi"/>
        </w:rPr>
        <w:t xml:space="preserve">have </w:t>
      </w:r>
      <w:r w:rsidR="00841F0F" w:rsidRPr="0003060E">
        <w:rPr>
          <w:rFonts w:asciiTheme="minorHAnsi" w:hAnsiTheme="minorHAnsi" w:cstheme="minorHAnsi"/>
        </w:rPr>
        <w:t xml:space="preserve">also </w:t>
      </w:r>
      <w:r w:rsidRPr="0003060E">
        <w:rPr>
          <w:rFonts w:asciiTheme="minorHAnsi" w:hAnsiTheme="minorHAnsi" w:cstheme="minorHAnsi"/>
        </w:rPr>
        <w:t xml:space="preserve">been amenable to the </w:t>
      </w:r>
      <w:r w:rsidR="00841F0F" w:rsidRPr="0003060E">
        <w:rPr>
          <w:rFonts w:asciiTheme="minorHAnsi" w:hAnsiTheme="minorHAnsi" w:cstheme="minorHAnsi"/>
        </w:rPr>
        <w:t xml:space="preserve">two-tiered </w:t>
      </w:r>
      <w:r w:rsidRPr="0003060E">
        <w:rPr>
          <w:rFonts w:asciiTheme="minorHAnsi" w:hAnsiTheme="minorHAnsi" w:cstheme="minorHAnsi"/>
        </w:rPr>
        <w:t xml:space="preserve">“investment court” arbitration </w:t>
      </w:r>
      <w:r w:rsidR="00841F0F" w:rsidRPr="0003060E">
        <w:rPr>
          <w:rFonts w:asciiTheme="minorHAnsi" w:hAnsiTheme="minorHAnsi" w:cstheme="minorHAnsi"/>
        </w:rPr>
        <w:t>mechanism proposed by the European Union (EU) due to its internal politics since 2015 as an alternative to traditional ISDS</w:t>
      </w:r>
      <w:r w:rsidR="004F6A4F" w:rsidRPr="0003060E">
        <w:rPr>
          <w:rFonts w:asciiTheme="minorHAnsi" w:hAnsiTheme="minorHAnsi" w:cstheme="minorHAnsi"/>
        </w:rPr>
        <w:t>. Some also</w:t>
      </w:r>
      <w:r w:rsidR="00841F0F" w:rsidRPr="0003060E">
        <w:rPr>
          <w:rFonts w:asciiTheme="minorHAnsi" w:hAnsiTheme="minorHAnsi" w:cstheme="minorHAnsi"/>
        </w:rPr>
        <w:t xml:space="preserve"> are quite active in multilateral ISDS reform deliberations underway in UNCITRAL since </w:t>
      </w:r>
      <w:r w:rsidR="004F6A4F" w:rsidRPr="0003060E">
        <w:rPr>
          <w:rFonts w:asciiTheme="minorHAnsi" w:hAnsiTheme="minorHAnsi" w:cstheme="minorHAnsi"/>
        </w:rPr>
        <w:t>late 2018.</w:t>
      </w:r>
      <w:r w:rsidR="00841F0F" w:rsidRPr="0003060E">
        <w:rPr>
          <w:rStyle w:val="FootnoteReference"/>
          <w:rFonts w:asciiTheme="minorHAnsi" w:hAnsiTheme="minorHAnsi" w:cstheme="minorHAnsi"/>
        </w:rPr>
        <w:footnoteReference w:id="30"/>
      </w:r>
    </w:p>
    <w:p w14:paraId="600EB4EF" w14:textId="77777777" w:rsidR="00841F0F" w:rsidRPr="0003060E" w:rsidRDefault="00841F0F" w:rsidP="00E76D41">
      <w:pPr>
        <w:spacing w:before="120"/>
        <w:jc w:val="both"/>
        <w:rPr>
          <w:rFonts w:asciiTheme="minorHAnsi" w:hAnsiTheme="minorHAnsi" w:cstheme="minorHAnsi"/>
          <w:b/>
          <w:bCs/>
        </w:rPr>
      </w:pPr>
      <w:r w:rsidRPr="0003060E">
        <w:rPr>
          <w:rFonts w:asciiTheme="minorHAnsi" w:hAnsiTheme="minorHAnsi" w:cstheme="minorHAnsi"/>
          <w:b/>
          <w:bCs/>
        </w:rPr>
        <w:t xml:space="preserve">3. The Resurgence of Costs and Delays </w:t>
      </w:r>
    </w:p>
    <w:p w14:paraId="63FDED73" w14:textId="04F5F9C2" w:rsidR="002338D5" w:rsidRPr="0003060E" w:rsidRDefault="00841F0F" w:rsidP="00E76D41">
      <w:pPr>
        <w:spacing w:before="120"/>
        <w:jc w:val="both"/>
        <w:rPr>
          <w:rFonts w:asciiTheme="minorHAnsi" w:hAnsiTheme="minorHAnsi" w:cstheme="minorHAnsi"/>
        </w:rPr>
      </w:pPr>
      <w:r w:rsidRPr="0003060E">
        <w:rPr>
          <w:rFonts w:asciiTheme="minorHAnsi" w:hAnsiTheme="minorHAnsi" w:cstheme="minorHAnsi"/>
        </w:rPr>
        <w:t xml:space="preserve">Despite this growth in IA worldwide, including around the Asian region, all is not rosy. Already in the 1990s, some commentators and practitioners had increasingly criticised the growing formalisation of IA. </w:t>
      </w:r>
      <w:r w:rsidR="00C83FF9" w:rsidRPr="0003060E">
        <w:rPr>
          <w:rFonts w:asciiTheme="minorHAnsi" w:hAnsiTheme="minorHAnsi" w:cstheme="minorHAnsi"/>
        </w:rPr>
        <w:t xml:space="preserve">Yves </w:t>
      </w:r>
      <w:proofErr w:type="spellStart"/>
      <w:r w:rsidRPr="0003060E">
        <w:rPr>
          <w:rFonts w:asciiTheme="minorHAnsi" w:hAnsiTheme="minorHAnsi" w:cstheme="minorHAnsi"/>
        </w:rPr>
        <w:t>Dezalay</w:t>
      </w:r>
      <w:proofErr w:type="spellEnd"/>
      <w:r w:rsidRPr="0003060E">
        <w:rPr>
          <w:rFonts w:asciiTheme="minorHAnsi" w:hAnsiTheme="minorHAnsi" w:cstheme="minorHAnsi"/>
        </w:rPr>
        <w:t xml:space="preserve"> and </w:t>
      </w:r>
      <w:r w:rsidR="00C83FF9" w:rsidRPr="0003060E">
        <w:rPr>
          <w:rFonts w:asciiTheme="minorHAnsi" w:hAnsiTheme="minorHAnsi" w:cstheme="minorHAnsi"/>
        </w:rPr>
        <w:t xml:space="preserve">Bryant </w:t>
      </w:r>
      <w:r w:rsidRPr="0003060E">
        <w:rPr>
          <w:rFonts w:asciiTheme="minorHAnsi" w:hAnsiTheme="minorHAnsi" w:cstheme="minorHAnsi"/>
        </w:rPr>
        <w:t>Garth tied this to the displacement of the “grand old men” (mostly eminent professors of international law) appointed as arbitrators to resolve often contract-based investment disputes in the 1950s and 1960s, in favour of a new generation of arbitration specialists. They also observed the encroachment of large American and then English international law firms bringing to Europe</w:t>
      </w:r>
      <w:r w:rsidR="00431836" w:rsidRPr="0003060E">
        <w:rPr>
          <w:rFonts w:asciiTheme="minorHAnsi" w:hAnsiTheme="minorHAnsi" w:cstheme="minorHAnsi"/>
        </w:rPr>
        <w:t xml:space="preserve"> from the 1970s and 1980s</w:t>
      </w:r>
      <w:r w:rsidRPr="0003060E">
        <w:rPr>
          <w:rFonts w:asciiTheme="minorHAnsi" w:hAnsiTheme="minorHAnsi" w:cstheme="minorHAnsi"/>
        </w:rPr>
        <w:t xml:space="preserve"> a more common law style of dispute resolution lawyering.</w:t>
      </w:r>
      <w:r w:rsidR="00C83FF9" w:rsidRPr="0003060E">
        <w:rPr>
          <w:rStyle w:val="FootnoteReference"/>
          <w:rFonts w:asciiTheme="minorHAnsi" w:hAnsiTheme="minorHAnsi" w:cstheme="minorHAnsi"/>
        </w:rPr>
        <w:footnoteReference w:id="31"/>
      </w:r>
      <w:r w:rsidR="00431836" w:rsidRPr="0003060E">
        <w:rPr>
          <w:rFonts w:asciiTheme="minorHAnsi" w:hAnsiTheme="minorHAnsi" w:cstheme="minorHAnsi"/>
        </w:rPr>
        <w:t xml:space="preserve"> </w:t>
      </w:r>
      <w:r w:rsidR="00E974AC" w:rsidRPr="0003060E">
        <w:rPr>
          <w:rFonts w:asciiTheme="minorHAnsi" w:hAnsiTheme="minorHAnsi" w:cstheme="minorHAnsi"/>
        </w:rPr>
        <w:t>T</w:t>
      </w:r>
      <w:r w:rsidR="00431836" w:rsidRPr="0003060E">
        <w:rPr>
          <w:rFonts w:asciiTheme="minorHAnsi" w:hAnsiTheme="minorHAnsi" w:cstheme="minorHAnsi"/>
        </w:rPr>
        <w:t>his benefited some types of parties and improved due process generally, as well as underpinning initiatives like the ML in 1985,</w:t>
      </w:r>
      <w:r w:rsidR="00E974AC" w:rsidRPr="0003060E">
        <w:rPr>
          <w:rFonts w:asciiTheme="minorHAnsi" w:hAnsiTheme="minorHAnsi" w:cstheme="minorHAnsi"/>
        </w:rPr>
        <w:t xml:space="preserve"> which reinforced core principles of party and tribunal autonomy – albeit through wording that sometimes led to disputation. By</w:t>
      </w:r>
      <w:r w:rsidR="00431836" w:rsidRPr="0003060E">
        <w:rPr>
          <w:rFonts w:asciiTheme="minorHAnsi" w:hAnsiTheme="minorHAnsi" w:cstheme="minorHAnsi"/>
        </w:rPr>
        <w:t xml:space="preserve"> the late 1990s the leading arbitration institutions were forced to undertake rules amendments that sought to restore some cost and time efficiencies in IA. In the early 2000s, UNCITRAL also investigated reforms to the ML, although the main achievement in 2006 was limited to new powers for tribunals to issue and have enforced interim measures. It seemed therefore that the still-growing world of IA was shifting back towards a more informal and global approach, finding a new balance between the civil law and common law traditions.</w:t>
      </w:r>
      <w:r w:rsidR="00431836" w:rsidRPr="0003060E">
        <w:rPr>
          <w:rStyle w:val="FootnoteReference"/>
          <w:rFonts w:asciiTheme="minorHAnsi" w:hAnsiTheme="minorHAnsi" w:cstheme="minorHAnsi"/>
        </w:rPr>
        <w:footnoteReference w:id="32"/>
      </w:r>
    </w:p>
    <w:p w14:paraId="77C0CA36" w14:textId="0D715CD5" w:rsidR="00EE3B90" w:rsidRPr="0003060E" w:rsidRDefault="00431836" w:rsidP="00E76D41">
      <w:pPr>
        <w:spacing w:before="120"/>
        <w:jc w:val="both"/>
        <w:rPr>
          <w:rFonts w:asciiTheme="minorHAnsi" w:hAnsiTheme="minorHAnsi" w:cstheme="minorHAnsi"/>
        </w:rPr>
      </w:pPr>
      <w:r w:rsidRPr="0003060E">
        <w:rPr>
          <w:rFonts w:asciiTheme="minorHAnsi" w:hAnsiTheme="minorHAnsi" w:cstheme="minorHAnsi"/>
        </w:rPr>
        <w:lastRenderedPageBreak/>
        <w:t>However, from the mid- to late-2000s evidence and anecdotes started to accumulate that IA was again being more formalised.</w:t>
      </w:r>
      <w:r w:rsidR="00951885" w:rsidRPr="0003060E">
        <w:rPr>
          <w:rStyle w:val="FootnoteReference"/>
          <w:rFonts w:asciiTheme="minorHAnsi" w:hAnsiTheme="minorHAnsi" w:cstheme="minorHAnsi"/>
        </w:rPr>
        <w:footnoteReference w:id="33"/>
      </w:r>
      <w:r w:rsidRPr="0003060E">
        <w:rPr>
          <w:rFonts w:asciiTheme="minorHAnsi" w:hAnsiTheme="minorHAnsi" w:cstheme="minorHAnsi"/>
        </w:rPr>
        <w:t xml:space="preserve"> I have charted elsewhere the associated resurgence of costs and delays, even as IA became more popular in Asian economies where other services are still cheaper than in Europe or the US</w:t>
      </w:r>
      <w:r w:rsidR="004F6A4F" w:rsidRPr="0003060E">
        <w:rPr>
          <w:rFonts w:asciiTheme="minorHAnsi" w:hAnsiTheme="minorHAnsi" w:cstheme="minorHAnsi"/>
        </w:rPr>
        <w:t>.</w:t>
      </w:r>
      <w:r w:rsidR="00EE3B90" w:rsidRPr="0003060E">
        <w:rPr>
          <w:rStyle w:val="FootnoteReference"/>
          <w:rFonts w:asciiTheme="minorHAnsi" w:hAnsiTheme="minorHAnsi" w:cstheme="minorHAnsi"/>
        </w:rPr>
        <w:footnoteReference w:id="34"/>
      </w:r>
      <w:r w:rsidR="00EE3B90" w:rsidRPr="0003060E">
        <w:rPr>
          <w:rFonts w:asciiTheme="minorHAnsi" w:hAnsiTheme="minorHAnsi" w:cstheme="minorHAnsi"/>
        </w:rPr>
        <w:t xml:space="preserve"> I depicted this latest shift</w:t>
      </w:r>
      <w:r w:rsidR="004F6A4F" w:rsidRPr="0003060E">
        <w:rPr>
          <w:rFonts w:asciiTheme="minorHAnsi" w:hAnsiTheme="minorHAnsi" w:cstheme="minorHAnsi"/>
        </w:rPr>
        <w:t>, and earlier movements,</w:t>
      </w:r>
      <w:r w:rsidR="00EE3B90" w:rsidRPr="0003060E">
        <w:rPr>
          <w:rFonts w:asciiTheme="minorHAnsi" w:hAnsiTheme="minorHAnsi" w:cstheme="minorHAnsi"/>
        </w:rPr>
        <w:t xml:space="preserve"> as follows:</w:t>
      </w:r>
      <w:r w:rsidR="00EE3B90" w:rsidRPr="0003060E">
        <w:rPr>
          <w:rStyle w:val="FootnoteReference"/>
          <w:rFonts w:asciiTheme="minorHAnsi" w:hAnsiTheme="minorHAnsi" w:cstheme="minorHAnsi"/>
        </w:rPr>
        <w:footnoteReference w:id="35"/>
      </w:r>
    </w:p>
    <w:p w14:paraId="253E9EFA" w14:textId="4967A2FA" w:rsidR="00861E7F" w:rsidRPr="0003060E" w:rsidRDefault="00861E7F" w:rsidP="00E76D41">
      <w:pPr>
        <w:spacing w:before="120"/>
        <w:jc w:val="both"/>
        <w:rPr>
          <w:rFonts w:asciiTheme="minorHAnsi" w:hAnsiTheme="minorHAnsi" w:cstheme="minorHAnsi"/>
        </w:rPr>
      </w:pPr>
      <w:r w:rsidRPr="0003060E">
        <w:rPr>
          <w:rFonts w:asciiTheme="minorHAnsi" w:hAnsiTheme="minorHAnsi" w:cstheme="minorHAnsi"/>
          <w:noProof/>
        </w:rPr>
        <w:drawing>
          <wp:inline distT="0" distB="0" distL="0" distR="0" wp14:anchorId="27E4329B" wp14:editId="7876195B">
            <wp:extent cx="5630061" cy="3886742"/>
            <wp:effectExtent l="0" t="0" r="8890" b="0"/>
            <wp:docPr id="4" name="Picture 4" descr="A diagram of a formal and for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formal and formal&#10;&#10;Description automatically generated"/>
                    <pic:cNvPicPr/>
                  </pic:nvPicPr>
                  <pic:blipFill>
                    <a:blip r:embed="rId8"/>
                    <a:stretch>
                      <a:fillRect/>
                    </a:stretch>
                  </pic:blipFill>
                  <pic:spPr>
                    <a:xfrm>
                      <a:off x="0" y="0"/>
                      <a:ext cx="5630061" cy="3886742"/>
                    </a:xfrm>
                    <a:prstGeom prst="rect">
                      <a:avLst/>
                    </a:prstGeom>
                  </pic:spPr>
                </pic:pic>
              </a:graphicData>
            </a:graphic>
          </wp:inline>
        </w:drawing>
      </w:r>
    </w:p>
    <w:p w14:paraId="68126F5D" w14:textId="11B29BC1" w:rsidR="00861E7F" w:rsidRPr="0003060E" w:rsidRDefault="00861E7F" w:rsidP="00E76D41">
      <w:pPr>
        <w:spacing w:before="120"/>
        <w:jc w:val="right"/>
        <w:rPr>
          <w:rFonts w:asciiTheme="minorHAnsi" w:hAnsiTheme="minorHAnsi" w:cstheme="minorHAnsi"/>
        </w:rPr>
      </w:pPr>
      <w:r w:rsidRPr="0003060E">
        <w:rPr>
          <w:rFonts w:asciiTheme="minorHAnsi" w:hAnsiTheme="minorHAnsi" w:cstheme="minorHAnsi"/>
          <w:noProof/>
        </w:rPr>
        <w:drawing>
          <wp:inline distT="0" distB="0" distL="0" distR="0" wp14:anchorId="106C346D" wp14:editId="2B4D88D2">
            <wp:extent cx="3543299" cy="285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4429" cy="285841"/>
                    </a:xfrm>
                    <a:prstGeom prst="rect">
                      <a:avLst/>
                    </a:prstGeom>
                  </pic:spPr>
                </pic:pic>
              </a:graphicData>
            </a:graphic>
          </wp:inline>
        </w:drawing>
      </w:r>
    </w:p>
    <w:p w14:paraId="7FF75226" w14:textId="7FEFF8C6" w:rsidR="00C57D5E" w:rsidRPr="0003060E" w:rsidRDefault="00EE3B90" w:rsidP="00E76D41">
      <w:pPr>
        <w:spacing w:before="120"/>
        <w:jc w:val="both"/>
        <w:rPr>
          <w:rFonts w:asciiTheme="minorHAnsi" w:hAnsiTheme="minorHAnsi" w:cstheme="minorHAnsi"/>
        </w:rPr>
      </w:pPr>
      <w:r w:rsidRPr="0003060E">
        <w:rPr>
          <w:rFonts w:asciiTheme="minorHAnsi" w:hAnsiTheme="minorHAnsi" w:cstheme="minorHAnsi"/>
        </w:rPr>
        <w:t xml:space="preserve">This “weather map” </w:t>
      </w:r>
      <w:r w:rsidR="0076687D" w:rsidRPr="0003060E">
        <w:rPr>
          <w:rFonts w:asciiTheme="minorHAnsi" w:hAnsiTheme="minorHAnsi" w:cstheme="minorHAnsi"/>
        </w:rPr>
        <w:t>further illustrates</w:t>
      </w:r>
      <w:r w:rsidRPr="0003060E">
        <w:rPr>
          <w:rFonts w:asciiTheme="minorHAnsi" w:hAnsiTheme="minorHAnsi" w:cstheme="minorHAnsi"/>
        </w:rPr>
        <w:t xml:space="preserve"> that the</w:t>
      </w:r>
      <w:r w:rsidR="0076687D" w:rsidRPr="0003060E">
        <w:rPr>
          <w:rFonts w:asciiTheme="minorHAnsi" w:hAnsiTheme="minorHAnsi" w:cstheme="minorHAnsi"/>
        </w:rPr>
        <w:t xml:space="preserve"> latest</w:t>
      </w:r>
      <w:r w:rsidRPr="0003060E">
        <w:rPr>
          <w:rFonts w:asciiTheme="minorHAnsi" w:hAnsiTheme="minorHAnsi" w:cstheme="minorHAnsi"/>
        </w:rPr>
        <w:t xml:space="preserve"> re-formalisation of the IA world is linked partly to the rebirth of </w:t>
      </w:r>
      <w:r w:rsidR="0076687D" w:rsidRPr="0003060E">
        <w:rPr>
          <w:rFonts w:asciiTheme="minorHAnsi" w:hAnsiTheme="minorHAnsi" w:cstheme="minorHAnsi"/>
        </w:rPr>
        <w:t>ISA</w:t>
      </w:r>
      <w:r w:rsidRPr="0003060E">
        <w:rPr>
          <w:rFonts w:asciiTheme="minorHAnsi" w:hAnsiTheme="minorHAnsi" w:cstheme="minorHAnsi"/>
        </w:rPr>
        <w:t xml:space="preserve">, although this time underpinned by advance consent given through investment treaties rather than ad hoc in individual investment contracts between foreign investor and host states. It is also true that even for the sub-field of ICA the underlying </w:t>
      </w:r>
      <w:r w:rsidRPr="0003060E">
        <w:rPr>
          <w:rFonts w:asciiTheme="minorHAnsi" w:hAnsiTheme="minorHAnsi" w:cstheme="minorHAnsi"/>
        </w:rPr>
        <w:lastRenderedPageBreak/>
        <w:t xml:space="preserve">transactions and disputes have become more complex over the last few decades, compared </w:t>
      </w:r>
      <w:r w:rsidR="00136998" w:rsidRPr="0003060E">
        <w:rPr>
          <w:rFonts w:asciiTheme="minorHAnsi" w:hAnsiTheme="minorHAnsi" w:cstheme="minorHAnsi"/>
        </w:rPr>
        <w:t xml:space="preserve">to </w:t>
      </w:r>
      <w:r w:rsidRPr="0003060E">
        <w:rPr>
          <w:rFonts w:asciiTheme="minorHAnsi" w:hAnsiTheme="minorHAnsi" w:cstheme="minorHAnsi"/>
        </w:rPr>
        <w:t>the more halcyon era of the 1970s-80s and especially the 1950s-60s.</w:t>
      </w:r>
      <w:r w:rsidRPr="0003060E">
        <w:rPr>
          <w:rStyle w:val="FootnoteReference"/>
          <w:rFonts w:asciiTheme="minorHAnsi" w:hAnsiTheme="minorHAnsi" w:cstheme="minorHAnsi"/>
        </w:rPr>
        <w:footnoteReference w:id="36"/>
      </w:r>
      <w:r w:rsidRPr="0003060E">
        <w:rPr>
          <w:rFonts w:asciiTheme="minorHAnsi" w:hAnsiTheme="minorHAnsi" w:cstheme="minorHAnsi"/>
        </w:rPr>
        <w:t xml:space="preserve"> </w:t>
      </w:r>
    </w:p>
    <w:p w14:paraId="15F6AB92" w14:textId="493A900A" w:rsidR="00343084" w:rsidRPr="0003060E" w:rsidRDefault="00EE3B90" w:rsidP="00E76D41">
      <w:pPr>
        <w:spacing w:before="120"/>
        <w:jc w:val="both"/>
        <w:rPr>
          <w:rFonts w:asciiTheme="minorHAnsi" w:hAnsiTheme="minorHAnsi" w:cstheme="minorHAnsi"/>
        </w:rPr>
      </w:pPr>
      <w:r w:rsidRPr="0003060E">
        <w:rPr>
          <w:rFonts w:asciiTheme="minorHAnsi" w:hAnsiTheme="minorHAnsi" w:cstheme="minorHAnsi"/>
        </w:rPr>
        <w:t xml:space="preserve">An example is the growth of multi-party and multi-party disputes, which arbitration institutions have tried to address by expanding the scope of </w:t>
      </w:r>
      <w:r w:rsidR="0076687D" w:rsidRPr="0003060E">
        <w:rPr>
          <w:rFonts w:asciiTheme="minorHAnsi" w:hAnsiTheme="minorHAnsi" w:cstheme="minorHAnsi"/>
        </w:rPr>
        <w:t xml:space="preserve">Rules applicable to </w:t>
      </w:r>
      <w:r w:rsidRPr="0003060E">
        <w:rPr>
          <w:rFonts w:asciiTheme="minorHAnsi" w:hAnsiTheme="minorHAnsi" w:cstheme="minorHAnsi"/>
        </w:rPr>
        <w:t>joinder and consolidation.</w:t>
      </w:r>
      <w:r w:rsidRPr="0003060E">
        <w:rPr>
          <w:rStyle w:val="FootnoteReference"/>
          <w:rFonts w:asciiTheme="minorHAnsi" w:hAnsiTheme="minorHAnsi" w:cstheme="minorHAnsi"/>
        </w:rPr>
        <w:footnoteReference w:id="37"/>
      </w:r>
      <w:r w:rsidRPr="0003060E">
        <w:rPr>
          <w:rFonts w:asciiTheme="minorHAnsi" w:hAnsiTheme="minorHAnsi" w:cstheme="minorHAnsi"/>
        </w:rPr>
        <w:t xml:space="preserve"> Yet </w:t>
      </w:r>
      <w:r w:rsidR="00F16347" w:rsidRPr="0003060E">
        <w:rPr>
          <w:rFonts w:asciiTheme="minorHAnsi" w:hAnsiTheme="minorHAnsi" w:cstheme="minorHAnsi"/>
        </w:rPr>
        <w:t>such</w:t>
      </w:r>
      <w:r w:rsidRPr="0003060E">
        <w:rPr>
          <w:rFonts w:asciiTheme="minorHAnsi" w:hAnsiTheme="minorHAnsi" w:cstheme="minorHAnsi"/>
        </w:rPr>
        <w:t xml:space="preserve"> </w:t>
      </w:r>
      <w:r w:rsidR="00F16347" w:rsidRPr="0003060E">
        <w:rPr>
          <w:rFonts w:asciiTheme="minorHAnsi" w:hAnsiTheme="minorHAnsi" w:cstheme="minorHAnsi"/>
        </w:rPr>
        <w:t>counter-measures</w:t>
      </w:r>
      <w:r w:rsidRPr="0003060E">
        <w:rPr>
          <w:rFonts w:asciiTheme="minorHAnsi" w:hAnsiTheme="minorHAnsi" w:cstheme="minorHAnsi"/>
        </w:rPr>
        <w:t xml:space="preserve"> are still limited by </w:t>
      </w:r>
      <w:r w:rsidR="00F16347" w:rsidRPr="0003060E">
        <w:rPr>
          <w:rFonts w:asciiTheme="minorHAnsi" w:hAnsiTheme="minorHAnsi" w:cstheme="minorHAnsi"/>
        </w:rPr>
        <w:t>the need for parties to agree to arbitration through the same institution, despite some tribunals and jurisdictions occasionally experimenting with principles other than consent to bring in more parties or contracts into one efficient IA procedure.</w:t>
      </w:r>
      <w:r w:rsidR="00F16347" w:rsidRPr="0003060E">
        <w:rPr>
          <w:rStyle w:val="FootnoteReference"/>
          <w:rFonts w:asciiTheme="minorHAnsi" w:hAnsiTheme="minorHAnsi" w:cstheme="minorHAnsi"/>
        </w:rPr>
        <w:footnoteReference w:id="38"/>
      </w:r>
      <w:r w:rsidR="00F16347" w:rsidRPr="0003060E">
        <w:rPr>
          <w:rFonts w:asciiTheme="minorHAnsi" w:hAnsiTheme="minorHAnsi" w:cstheme="minorHAnsi"/>
        </w:rPr>
        <w:t xml:space="preserve"> Australia’s International Arbitration Act (IAA) s</w:t>
      </w:r>
      <w:r w:rsidR="00951885" w:rsidRPr="0003060E">
        <w:rPr>
          <w:rFonts w:asciiTheme="minorHAnsi" w:hAnsiTheme="minorHAnsi" w:cstheme="minorHAnsi"/>
        </w:rPr>
        <w:t>24</w:t>
      </w:r>
      <w:r w:rsidR="00F16347" w:rsidRPr="0003060E">
        <w:rPr>
          <w:rFonts w:asciiTheme="minorHAnsi" w:hAnsiTheme="minorHAnsi" w:cstheme="minorHAnsi"/>
        </w:rPr>
        <w:t xml:space="preserve"> was pioneering in adding the possibility of consolidation of related arbitration proceedings more broadly</w:t>
      </w:r>
      <w:r w:rsidR="00C57D5E" w:rsidRPr="0003060E">
        <w:rPr>
          <w:rFonts w:asciiTheme="minorHAnsi" w:hAnsiTheme="minorHAnsi" w:cstheme="minorHAnsi"/>
        </w:rPr>
        <w:t>. However,</w:t>
      </w:r>
      <w:r w:rsidR="00F16347" w:rsidRPr="0003060E">
        <w:rPr>
          <w:rFonts w:asciiTheme="minorHAnsi" w:hAnsiTheme="minorHAnsi" w:cstheme="minorHAnsi"/>
        </w:rPr>
        <w:t xml:space="preserve"> it remains a (now rare) opt-in provision and has other limitations that need attention from the legislature</w:t>
      </w:r>
      <w:r w:rsidR="00C57D5E" w:rsidRPr="0003060E">
        <w:rPr>
          <w:rFonts w:asciiTheme="minorHAnsi" w:hAnsiTheme="minorHAnsi" w:cstheme="minorHAnsi"/>
        </w:rPr>
        <w:t xml:space="preserve"> to efficiently consolidate arbitrations across multiple institutions or tribunals</w:t>
      </w:r>
      <w:r w:rsidR="00F16347" w:rsidRPr="0003060E">
        <w:rPr>
          <w:rFonts w:asciiTheme="minorHAnsi" w:hAnsiTheme="minorHAnsi" w:cstheme="minorHAnsi"/>
        </w:rPr>
        <w:t>.</w:t>
      </w:r>
      <w:r w:rsidR="00F16347" w:rsidRPr="0003060E">
        <w:rPr>
          <w:rStyle w:val="FootnoteReference"/>
          <w:rFonts w:asciiTheme="minorHAnsi" w:hAnsiTheme="minorHAnsi" w:cstheme="minorHAnsi"/>
        </w:rPr>
        <w:footnoteReference w:id="39"/>
      </w:r>
      <w:r w:rsidR="00C57D5E" w:rsidRPr="0003060E">
        <w:rPr>
          <w:rFonts w:asciiTheme="minorHAnsi" w:hAnsiTheme="minorHAnsi" w:cstheme="minorHAnsi"/>
        </w:rPr>
        <w:t xml:space="preserve"> </w:t>
      </w:r>
    </w:p>
    <w:p w14:paraId="0D21613F" w14:textId="08D408FE" w:rsidR="00757E1A" w:rsidRPr="0003060E" w:rsidRDefault="00C57D5E" w:rsidP="00E76D41">
      <w:pPr>
        <w:spacing w:before="120"/>
        <w:jc w:val="both"/>
        <w:rPr>
          <w:rFonts w:asciiTheme="minorHAnsi" w:hAnsiTheme="minorHAnsi" w:cstheme="minorHAnsi"/>
        </w:rPr>
      </w:pPr>
      <w:r w:rsidRPr="0003060E">
        <w:rPr>
          <w:rFonts w:asciiTheme="minorHAnsi" w:hAnsiTheme="minorHAnsi" w:cstheme="minorHAnsi"/>
        </w:rPr>
        <w:t xml:space="preserve">In addition, to promote arbitration as the one forum to </w:t>
      </w:r>
      <w:r w:rsidR="00343084" w:rsidRPr="0003060E">
        <w:rPr>
          <w:rFonts w:asciiTheme="minorHAnsi" w:hAnsiTheme="minorHAnsi" w:cstheme="minorHAnsi"/>
        </w:rPr>
        <w:t xml:space="preserve">efficiently </w:t>
      </w:r>
      <w:r w:rsidRPr="0003060E">
        <w:rPr>
          <w:rFonts w:asciiTheme="minorHAnsi" w:hAnsiTheme="minorHAnsi" w:cstheme="minorHAnsi"/>
        </w:rPr>
        <w:t xml:space="preserve">hear related disputes, in the Rinehart family trust </w:t>
      </w:r>
      <w:r w:rsidR="00343084" w:rsidRPr="0003060E">
        <w:rPr>
          <w:rFonts w:asciiTheme="minorHAnsi" w:hAnsiTheme="minorHAnsi" w:cstheme="minorHAnsi"/>
        </w:rPr>
        <w:t>domestic arbitration saga</w:t>
      </w:r>
      <w:r w:rsidRPr="0003060E">
        <w:rPr>
          <w:rFonts w:asciiTheme="minorHAnsi" w:hAnsiTheme="minorHAnsi" w:cstheme="minorHAnsi"/>
        </w:rPr>
        <w:t xml:space="preserve"> </w:t>
      </w:r>
      <w:r w:rsidR="00343084" w:rsidRPr="0003060E">
        <w:rPr>
          <w:rFonts w:asciiTheme="minorHAnsi" w:hAnsiTheme="minorHAnsi" w:cstheme="minorHAnsi"/>
        </w:rPr>
        <w:t>the High Court of Australia</w:t>
      </w:r>
      <w:r w:rsidRPr="0003060E">
        <w:rPr>
          <w:rFonts w:asciiTheme="minorHAnsi" w:hAnsiTheme="minorHAnsi" w:cstheme="minorHAnsi"/>
        </w:rPr>
        <w:t xml:space="preserve"> considera</w:t>
      </w:r>
      <w:r w:rsidR="00343084" w:rsidRPr="0003060E">
        <w:rPr>
          <w:rFonts w:asciiTheme="minorHAnsi" w:hAnsiTheme="minorHAnsi" w:cstheme="minorHAnsi"/>
        </w:rPr>
        <w:t>bly</w:t>
      </w:r>
      <w:r w:rsidRPr="0003060E">
        <w:rPr>
          <w:rFonts w:asciiTheme="minorHAnsi" w:hAnsiTheme="minorHAnsi" w:cstheme="minorHAnsi"/>
        </w:rPr>
        <w:t xml:space="preserve"> widened in 2019 the scope for a non-signatory defendant (D2) to obtain a stay in litigation proceedings brought by a claimant against a defendant signatory to arbitration agreement (D1</w:t>
      </w:r>
      <w:r w:rsidR="00343084" w:rsidRPr="0003060E">
        <w:rPr>
          <w:rFonts w:asciiTheme="minorHAnsi" w:hAnsiTheme="minorHAnsi" w:cstheme="minorHAnsi"/>
        </w:rPr>
        <w:t xml:space="preserve">). The Court had to decide when a party (like D2) could seek a stay </w:t>
      </w:r>
      <w:r w:rsidR="003E51FB" w:rsidRPr="0003060E">
        <w:rPr>
          <w:rFonts w:asciiTheme="minorHAnsi" w:hAnsiTheme="minorHAnsi" w:cstheme="minorHAnsi"/>
        </w:rPr>
        <w:t xml:space="preserve">in favour of arbitration </w:t>
      </w:r>
      <w:r w:rsidR="00343084" w:rsidRPr="0003060E">
        <w:rPr>
          <w:rFonts w:asciiTheme="minorHAnsi" w:hAnsiTheme="minorHAnsi" w:cstheme="minorHAnsi"/>
        </w:rPr>
        <w:t xml:space="preserve">because proceedings were brought by “any person claiming through or under” a party to the arbitration agreement (like D1), which extends – based on </w:t>
      </w:r>
      <w:r w:rsidR="00C83FF9" w:rsidRPr="0003060E">
        <w:rPr>
          <w:rFonts w:asciiTheme="minorHAnsi" w:hAnsiTheme="minorHAnsi" w:cstheme="minorHAnsi"/>
        </w:rPr>
        <w:t xml:space="preserve">old </w:t>
      </w:r>
      <w:r w:rsidR="00343084" w:rsidRPr="0003060E">
        <w:rPr>
          <w:rFonts w:asciiTheme="minorHAnsi" w:hAnsiTheme="minorHAnsi" w:cstheme="minorHAnsi"/>
        </w:rPr>
        <w:t>English law</w:t>
      </w:r>
      <w:r w:rsidR="00C83FF9" w:rsidRPr="0003060E">
        <w:rPr>
          <w:rFonts w:asciiTheme="minorHAnsi" w:hAnsiTheme="minorHAnsi" w:cstheme="minorHAnsi"/>
        </w:rPr>
        <w:t xml:space="preserve"> </w:t>
      </w:r>
      <w:r w:rsidR="00343084" w:rsidRPr="0003060E">
        <w:rPr>
          <w:rFonts w:asciiTheme="minorHAnsi" w:hAnsiTheme="minorHAnsi" w:cstheme="minorHAnsi"/>
        </w:rPr>
        <w:t xml:space="preserve">– the NYC (Art II) and ML (Art 8) provisions requiring a stay only for an arbitration agreement signatory. </w:t>
      </w:r>
      <w:proofErr w:type="gramStart"/>
      <w:r w:rsidR="00343084" w:rsidRPr="0003060E">
        <w:rPr>
          <w:rFonts w:asciiTheme="minorHAnsi" w:hAnsiTheme="minorHAnsi" w:cstheme="minorHAnsi"/>
        </w:rPr>
        <w:t>The majority of</w:t>
      </w:r>
      <w:proofErr w:type="gramEnd"/>
      <w:r w:rsidR="00343084" w:rsidRPr="0003060E">
        <w:rPr>
          <w:rFonts w:asciiTheme="minorHAnsi" w:hAnsiTheme="minorHAnsi" w:cstheme="minorHAnsi"/>
        </w:rPr>
        <w:t xml:space="preserve"> the Court held that the test should be “whether an essential element of the defence was or is vested in or exercisable by the party to the arbitration agreement” rather than the older test of whether the non-signatory</w:t>
      </w:r>
      <w:r w:rsidR="003E51FB" w:rsidRPr="0003060E">
        <w:rPr>
          <w:rFonts w:asciiTheme="minorHAnsi" w:hAnsiTheme="minorHAnsi" w:cstheme="minorHAnsi"/>
        </w:rPr>
        <w:t xml:space="preserve"> stepped into the shoes of the signatory to derive its defence.</w:t>
      </w:r>
      <w:r w:rsidR="003E51FB" w:rsidRPr="0003060E">
        <w:rPr>
          <w:rStyle w:val="FootnoteReference"/>
          <w:rFonts w:asciiTheme="minorHAnsi" w:hAnsiTheme="minorHAnsi" w:cstheme="minorHAnsi"/>
        </w:rPr>
        <w:footnoteReference w:id="40"/>
      </w:r>
    </w:p>
    <w:p w14:paraId="1AD714F5" w14:textId="7D745CC0" w:rsidR="003E51FB" w:rsidRPr="0003060E" w:rsidRDefault="003E51FB" w:rsidP="00E76D41">
      <w:pPr>
        <w:spacing w:before="120"/>
        <w:jc w:val="both"/>
        <w:rPr>
          <w:rFonts w:asciiTheme="minorHAnsi" w:hAnsiTheme="minorHAnsi" w:cstheme="minorHAnsi"/>
        </w:rPr>
      </w:pPr>
      <w:r w:rsidRPr="0003060E">
        <w:rPr>
          <w:rFonts w:asciiTheme="minorHAnsi" w:hAnsiTheme="minorHAnsi" w:cstheme="minorHAnsi"/>
        </w:rPr>
        <w:t xml:space="preserve">However, Professor Richard Garnett has argued compellingly that the narrower test – extending the arbitration procedure only to non-signatories </w:t>
      </w:r>
      <w:r w:rsidR="0076687D" w:rsidRPr="0003060E">
        <w:rPr>
          <w:rFonts w:asciiTheme="minorHAnsi" w:hAnsiTheme="minorHAnsi" w:cstheme="minorHAnsi"/>
        </w:rPr>
        <w:t>such as</w:t>
      </w:r>
      <w:r w:rsidRPr="0003060E">
        <w:rPr>
          <w:rFonts w:asciiTheme="minorHAnsi" w:hAnsiTheme="minorHAnsi" w:cstheme="minorHAnsi"/>
        </w:rPr>
        <w:t xml:space="preserve"> assignees, principals in agency relationships, </w:t>
      </w:r>
      <w:proofErr w:type="gramStart"/>
      <w:r w:rsidRPr="0003060E">
        <w:rPr>
          <w:rFonts w:asciiTheme="minorHAnsi" w:hAnsiTheme="minorHAnsi" w:cstheme="minorHAnsi"/>
        </w:rPr>
        <w:t>liquidators</w:t>
      </w:r>
      <w:proofErr w:type="gramEnd"/>
      <w:r w:rsidRPr="0003060E">
        <w:rPr>
          <w:rFonts w:asciiTheme="minorHAnsi" w:hAnsiTheme="minorHAnsi" w:cstheme="minorHAnsi"/>
        </w:rPr>
        <w:t xml:space="preserve"> or subrogated insurers – should be adopted in a second category of situations. That arises where the non-signatory (C2</w:t>
      </w:r>
      <w:r w:rsidR="00EB4CED" w:rsidRPr="0003060E">
        <w:rPr>
          <w:rFonts w:asciiTheme="minorHAnsi" w:hAnsiTheme="minorHAnsi" w:cstheme="minorHAnsi"/>
        </w:rPr>
        <w:t>, such as an assignee but not just raising essentially the same legal arguments as C1</w:t>
      </w:r>
      <w:r w:rsidRPr="0003060E">
        <w:rPr>
          <w:rFonts w:asciiTheme="minorHAnsi" w:hAnsiTheme="minorHAnsi" w:cstheme="minorHAnsi"/>
        </w:rPr>
        <w:t>)</w:t>
      </w:r>
      <w:r w:rsidR="00757E1A" w:rsidRPr="0003060E">
        <w:rPr>
          <w:rFonts w:asciiTheme="minorHAnsi" w:hAnsiTheme="minorHAnsi" w:cstheme="minorHAnsi"/>
        </w:rPr>
        <w:t xml:space="preserve"> instead</w:t>
      </w:r>
      <w:r w:rsidRPr="0003060E">
        <w:rPr>
          <w:rFonts w:asciiTheme="minorHAnsi" w:hAnsiTheme="minorHAnsi" w:cstheme="minorHAnsi"/>
        </w:rPr>
        <w:t xml:space="preserve"> </w:t>
      </w:r>
      <w:r w:rsidRPr="0003060E">
        <w:rPr>
          <w:rFonts w:asciiTheme="minorHAnsi" w:hAnsiTheme="minorHAnsi" w:cstheme="minorHAnsi"/>
          <w:i/>
          <w:iCs/>
        </w:rPr>
        <w:t>claims</w:t>
      </w:r>
      <w:r w:rsidRPr="0003060E">
        <w:rPr>
          <w:rFonts w:asciiTheme="minorHAnsi" w:hAnsiTheme="minorHAnsi" w:cstheme="minorHAnsi"/>
        </w:rPr>
        <w:t xml:space="preserve"> against a defendant, wh</w:t>
      </w:r>
      <w:r w:rsidR="00757E1A" w:rsidRPr="0003060E">
        <w:rPr>
          <w:rFonts w:asciiTheme="minorHAnsi" w:hAnsiTheme="minorHAnsi" w:cstheme="minorHAnsi"/>
        </w:rPr>
        <w:t>ich then</w:t>
      </w:r>
      <w:r w:rsidRPr="0003060E">
        <w:rPr>
          <w:rFonts w:asciiTheme="minorHAnsi" w:hAnsiTheme="minorHAnsi" w:cstheme="minorHAnsi"/>
        </w:rPr>
        <w:t xml:space="preserve"> tries to assert a stay based on its arbitration agreement</w:t>
      </w:r>
      <w:r w:rsidR="00757E1A" w:rsidRPr="0003060E">
        <w:rPr>
          <w:rFonts w:asciiTheme="minorHAnsi" w:hAnsiTheme="minorHAnsi" w:cstheme="minorHAnsi"/>
        </w:rPr>
        <w:t xml:space="preserve"> with another (C1). Garnett argues that a narrower test is appropriate in the second scenario because otherwise the non-signatory </w:t>
      </w:r>
      <w:r w:rsidR="00757E1A" w:rsidRPr="0003060E">
        <w:rPr>
          <w:rFonts w:asciiTheme="minorHAnsi" w:hAnsiTheme="minorHAnsi" w:cstheme="minorHAnsi"/>
          <w:i/>
          <w:iCs/>
        </w:rPr>
        <w:t xml:space="preserve">claimant </w:t>
      </w:r>
      <w:r w:rsidR="00757E1A" w:rsidRPr="0003060E">
        <w:rPr>
          <w:rFonts w:asciiTheme="minorHAnsi" w:hAnsiTheme="minorHAnsi" w:cstheme="minorHAnsi"/>
        </w:rPr>
        <w:t xml:space="preserve">“has been effectively coerced into arbitration by having its own court proceedings restrained”. He notes that the “consent deficit” is much more pronounced than </w:t>
      </w:r>
      <w:r w:rsidR="00757E1A" w:rsidRPr="0003060E">
        <w:rPr>
          <w:rFonts w:asciiTheme="minorHAnsi" w:hAnsiTheme="minorHAnsi" w:cstheme="minorHAnsi"/>
        </w:rPr>
        <w:lastRenderedPageBreak/>
        <w:t xml:space="preserve">in the first scenario of the non-signatory </w:t>
      </w:r>
      <w:r w:rsidR="00757E1A" w:rsidRPr="0003060E">
        <w:rPr>
          <w:rFonts w:asciiTheme="minorHAnsi" w:hAnsiTheme="minorHAnsi" w:cstheme="minorHAnsi"/>
          <w:i/>
          <w:iCs/>
        </w:rPr>
        <w:t>defendant</w:t>
      </w:r>
      <w:r w:rsidR="00757E1A" w:rsidRPr="0003060E">
        <w:rPr>
          <w:rFonts w:asciiTheme="minorHAnsi" w:hAnsiTheme="minorHAnsi" w:cstheme="minorHAnsi"/>
        </w:rPr>
        <w:t xml:space="preserve">, where </w:t>
      </w:r>
      <w:r w:rsidR="00EB4CED" w:rsidRPr="0003060E">
        <w:rPr>
          <w:rFonts w:asciiTheme="minorHAnsi" w:hAnsiTheme="minorHAnsi" w:cstheme="minorHAnsi"/>
        </w:rPr>
        <w:t>at least the latter is the one now seeking to get into arbitration, which derives fundamentally from party consent.</w:t>
      </w:r>
      <w:r w:rsidR="00EB4CED" w:rsidRPr="0003060E">
        <w:rPr>
          <w:rStyle w:val="FootnoteReference"/>
          <w:rFonts w:asciiTheme="minorHAnsi" w:hAnsiTheme="minorHAnsi" w:cstheme="minorHAnsi"/>
        </w:rPr>
        <w:footnoteReference w:id="41"/>
      </w:r>
      <w:r w:rsidR="00EB4CED" w:rsidRPr="0003060E">
        <w:rPr>
          <w:rFonts w:asciiTheme="minorHAnsi" w:hAnsiTheme="minorHAnsi" w:cstheme="minorHAnsi"/>
        </w:rPr>
        <w:t xml:space="preserve"> If Garnett’s important conceptual distinction between the two scenarios is upheld in future Australian case law, or perhaps even legislative clarification to its arbitration legislation, this prioritisation of party autonomy nonetheless will mean less promotion of efficient dispute resolution. More disputes will remain outside arbitration and instead in court proceedings</w:t>
      </w:r>
      <w:r w:rsidR="003452C2" w:rsidRPr="0003060E">
        <w:rPr>
          <w:rFonts w:asciiTheme="minorHAnsi" w:hAnsiTheme="minorHAnsi" w:cstheme="minorHAnsi"/>
        </w:rPr>
        <w:t xml:space="preserve">, resulting in more costs and delays </w:t>
      </w:r>
      <w:r w:rsidR="00762159" w:rsidRPr="0003060E">
        <w:rPr>
          <w:rFonts w:asciiTheme="minorHAnsi" w:hAnsiTheme="minorHAnsi" w:cstheme="minorHAnsi"/>
        </w:rPr>
        <w:t>compared to</w:t>
      </w:r>
      <w:r w:rsidR="003452C2" w:rsidRPr="0003060E">
        <w:rPr>
          <w:rFonts w:asciiTheme="minorHAnsi" w:hAnsiTheme="minorHAnsi" w:cstheme="minorHAnsi"/>
        </w:rPr>
        <w:t xml:space="preserve"> extending the wider test also to claimant non-signatories, albeit for powerful philosophical reasons.</w:t>
      </w:r>
      <w:r w:rsidR="00762159" w:rsidRPr="0003060E">
        <w:rPr>
          <w:rStyle w:val="FootnoteReference"/>
          <w:rFonts w:asciiTheme="minorHAnsi" w:hAnsiTheme="minorHAnsi" w:cstheme="minorHAnsi"/>
        </w:rPr>
        <w:footnoteReference w:id="42"/>
      </w:r>
    </w:p>
    <w:p w14:paraId="22C655CD" w14:textId="3D299BB6" w:rsidR="00EE3B90" w:rsidRPr="0003060E" w:rsidRDefault="00F16347" w:rsidP="00E76D41">
      <w:pPr>
        <w:spacing w:before="120"/>
        <w:jc w:val="both"/>
        <w:rPr>
          <w:rFonts w:asciiTheme="minorHAnsi" w:hAnsiTheme="minorHAnsi" w:cstheme="minorHAnsi"/>
        </w:rPr>
      </w:pPr>
      <w:r w:rsidRPr="0003060E">
        <w:rPr>
          <w:rFonts w:asciiTheme="minorHAnsi" w:hAnsiTheme="minorHAnsi" w:cstheme="minorHAnsi"/>
        </w:rPr>
        <w:t>There are also other factors, beyond increasing</w:t>
      </w:r>
      <w:r w:rsidR="003452C2" w:rsidRPr="0003060E">
        <w:rPr>
          <w:rFonts w:asciiTheme="minorHAnsi" w:hAnsiTheme="minorHAnsi" w:cstheme="minorHAnsi"/>
        </w:rPr>
        <w:t xml:space="preserve"> multi-party or multi-contract </w:t>
      </w:r>
      <w:r w:rsidRPr="0003060E">
        <w:rPr>
          <w:rFonts w:asciiTheme="minorHAnsi" w:hAnsiTheme="minorHAnsi" w:cstheme="minorHAnsi"/>
        </w:rPr>
        <w:t>disputes</w:t>
      </w:r>
      <w:r w:rsidR="003452C2" w:rsidRPr="0003060E">
        <w:rPr>
          <w:rFonts w:asciiTheme="minorHAnsi" w:hAnsiTheme="minorHAnsi" w:cstheme="minorHAnsi"/>
        </w:rPr>
        <w:t xml:space="preserve"> nowadays</w:t>
      </w:r>
      <w:r w:rsidRPr="0003060E">
        <w:rPr>
          <w:rFonts w:asciiTheme="minorHAnsi" w:hAnsiTheme="minorHAnsi" w:cstheme="minorHAnsi"/>
        </w:rPr>
        <w:t xml:space="preserve">, which arguably contribute to resurgent delays and especially costs in IA. First, there are still </w:t>
      </w:r>
      <w:proofErr w:type="gramStart"/>
      <w:r w:rsidRPr="0003060E">
        <w:rPr>
          <w:rFonts w:asciiTheme="minorHAnsi" w:hAnsiTheme="minorHAnsi" w:cstheme="minorHAnsi"/>
        </w:rPr>
        <w:t>really no</w:t>
      </w:r>
      <w:proofErr w:type="gramEnd"/>
      <w:r w:rsidRPr="0003060E">
        <w:rPr>
          <w:rFonts w:asciiTheme="minorHAnsi" w:hAnsiTheme="minorHAnsi" w:cstheme="minorHAnsi"/>
        </w:rPr>
        <w:t xml:space="preserve"> other alternative DR methods available for cross-border contexts. International commercial courts have been established, notably in Singapore from 2015,</w:t>
      </w:r>
      <w:r w:rsidRPr="0003060E">
        <w:rPr>
          <w:rStyle w:val="FootnoteReference"/>
          <w:rFonts w:asciiTheme="minorHAnsi" w:hAnsiTheme="minorHAnsi" w:cstheme="minorHAnsi"/>
        </w:rPr>
        <w:footnoteReference w:id="43"/>
      </w:r>
      <w:r w:rsidRPr="0003060E">
        <w:rPr>
          <w:rFonts w:asciiTheme="minorHAnsi" w:hAnsiTheme="minorHAnsi" w:cstheme="minorHAnsi"/>
        </w:rPr>
        <w:t xml:space="preserve"> but have not yet attracted many</w:t>
      </w:r>
      <w:r w:rsidR="00451D97" w:rsidRPr="0003060E">
        <w:rPr>
          <w:rFonts w:asciiTheme="minorHAnsi" w:hAnsiTheme="minorHAnsi" w:cstheme="minorHAnsi"/>
        </w:rPr>
        <w:t xml:space="preserve"> general commercial</w:t>
      </w:r>
      <w:r w:rsidRPr="0003060E">
        <w:rPr>
          <w:rFonts w:asciiTheme="minorHAnsi" w:hAnsiTheme="minorHAnsi" w:cstheme="minorHAnsi"/>
        </w:rPr>
        <w:t xml:space="preserve"> cases based on</w:t>
      </w:r>
      <w:r w:rsidR="00451D97" w:rsidRPr="0003060E">
        <w:rPr>
          <w:rFonts w:asciiTheme="minorHAnsi" w:hAnsiTheme="minorHAnsi" w:cstheme="minorHAnsi"/>
        </w:rPr>
        <w:t xml:space="preserve"> parties expressly agreeing on such forums.</w:t>
      </w:r>
      <w:r w:rsidR="00451D97" w:rsidRPr="0003060E">
        <w:rPr>
          <w:rStyle w:val="FootnoteReference"/>
          <w:rFonts w:asciiTheme="minorHAnsi" w:hAnsiTheme="minorHAnsi" w:cstheme="minorHAnsi"/>
        </w:rPr>
        <w:footnoteReference w:id="44"/>
      </w:r>
      <w:r w:rsidR="00451D97" w:rsidRPr="0003060E">
        <w:rPr>
          <w:rFonts w:asciiTheme="minorHAnsi" w:hAnsiTheme="minorHAnsi" w:cstheme="minorHAnsi"/>
        </w:rPr>
        <w:t xml:space="preserve"> Court rules and then laws and institutions to promote more mediation of domestic disputes, and then international disputes, have emerged particularly in common law jurisdictions suffering from court congestion.</w:t>
      </w:r>
      <w:r w:rsidR="00451D97" w:rsidRPr="0003060E">
        <w:rPr>
          <w:rStyle w:val="FootnoteReference"/>
          <w:rFonts w:asciiTheme="minorHAnsi" w:hAnsiTheme="minorHAnsi" w:cstheme="minorHAnsi"/>
        </w:rPr>
        <w:footnoteReference w:id="45"/>
      </w:r>
      <w:r w:rsidR="00451D97" w:rsidRPr="0003060E">
        <w:rPr>
          <w:rFonts w:asciiTheme="minorHAnsi" w:hAnsiTheme="minorHAnsi" w:cstheme="minorHAnsi"/>
        </w:rPr>
        <w:t xml:space="preserve"> But few states have ratified, as opposed to signing, the 2019 Singapore Convention aimed at facilitating </w:t>
      </w:r>
      <w:r w:rsidR="0076687D" w:rsidRPr="0003060E">
        <w:rPr>
          <w:rFonts w:asciiTheme="minorHAnsi" w:hAnsiTheme="minorHAnsi" w:cstheme="minorHAnsi"/>
        </w:rPr>
        <w:t xml:space="preserve">the enforcement of </w:t>
      </w:r>
      <w:r w:rsidR="00451D97" w:rsidRPr="0003060E">
        <w:rPr>
          <w:rFonts w:asciiTheme="minorHAnsi" w:hAnsiTheme="minorHAnsi" w:cstheme="minorHAnsi"/>
        </w:rPr>
        <w:t>international settlement agreements secured through mediation – inspired by NYC Article V.</w:t>
      </w:r>
      <w:r w:rsidR="00451D97" w:rsidRPr="0003060E">
        <w:rPr>
          <w:rStyle w:val="FootnoteReference"/>
          <w:rFonts w:asciiTheme="minorHAnsi" w:hAnsiTheme="minorHAnsi" w:cstheme="minorHAnsi"/>
        </w:rPr>
        <w:footnoteReference w:id="46"/>
      </w:r>
      <w:r w:rsidR="00451D97" w:rsidRPr="0003060E">
        <w:rPr>
          <w:rFonts w:asciiTheme="minorHAnsi" w:hAnsiTheme="minorHAnsi" w:cstheme="minorHAnsi"/>
        </w:rPr>
        <w:t xml:space="preserve"> </w:t>
      </w:r>
    </w:p>
    <w:p w14:paraId="5E43E2F6" w14:textId="5495C6D4" w:rsidR="00451D97" w:rsidRPr="0003060E" w:rsidRDefault="00451D97" w:rsidP="00E76D41">
      <w:pPr>
        <w:spacing w:before="120"/>
        <w:jc w:val="both"/>
        <w:rPr>
          <w:rFonts w:asciiTheme="minorHAnsi" w:hAnsiTheme="minorHAnsi" w:cstheme="minorHAnsi"/>
        </w:rPr>
      </w:pPr>
      <w:r w:rsidRPr="0003060E">
        <w:rPr>
          <w:rFonts w:asciiTheme="minorHAnsi" w:hAnsiTheme="minorHAnsi" w:cstheme="minorHAnsi"/>
        </w:rPr>
        <w:t xml:space="preserve">Secondly, law firms have </w:t>
      </w:r>
      <w:r w:rsidR="00712309" w:rsidRPr="0003060E">
        <w:rPr>
          <w:rFonts w:asciiTheme="minorHAnsi" w:hAnsiTheme="minorHAnsi" w:cstheme="minorHAnsi"/>
        </w:rPr>
        <w:t>kept</w:t>
      </w:r>
      <w:r w:rsidRPr="0003060E">
        <w:rPr>
          <w:rFonts w:asciiTheme="minorHAnsi" w:hAnsiTheme="minorHAnsi" w:cstheme="minorHAnsi"/>
        </w:rPr>
        <w:t xml:space="preserve"> </w:t>
      </w:r>
      <w:proofErr w:type="gramStart"/>
      <w:r w:rsidRPr="0003060E">
        <w:rPr>
          <w:rFonts w:asciiTheme="minorHAnsi" w:hAnsiTheme="minorHAnsi" w:cstheme="minorHAnsi"/>
        </w:rPr>
        <w:t>grow</w:t>
      </w:r>
      <w:r w:rsidR="00712309" w:rsidRPr="0003060E">
        <w:rPr>
          <w:rFonts w:asciiTheme="minorHAnsi" w:hAnsiTheme="minorHAnsi" w:cstheme="minorHAnsi"/>
        </w:rPr>
        <w:t>ing</w:t>
      </w:r>
      <w:r w:rsidRPr="0003060E">
        <w:rPr>
          <w:rFonts w:asciiTheme="minorHAnsi" w:hAnsiTheme="minorHAnsi" w:cstheme="minorHAnsi"/>
        </w:rPr>
        <w:t xml:space="preserve"> in size</w:t>
      </w:r>
      <w:proofErr w:type="gramEnd"/>
      <w:r w:rsidRPr="0003060E">
        <w:rPr>
          <w:rFonts w:asciiTheme="minorHAnsi" w:hAnsiTheme="minorHAnsi" w:cstheme="minorHAnsi"/>
        </w:rPr>
        <w:t xml:space="preserve"> and geographical reach</w:t>
      </w:r>
      <w:r w:rsidR="00682F31" w:rsidRPr="0003060E">
        <w:rPr>
          <w:rFonts w:asciiTheme="minorHAnsi" w:hAnsiTheme="minorHAnsi" w:cstheme="minorHAnsi"/>
        </w:rPr>
        <w:t xml:space="preserve">. </w:t>
      </w:r>
      <w:r w:rsidRPr="0003060E">
        <w:rPr>
          <w:rFonts w:asciiTheme="minorHAnsi" w:hAnsiTheme="minorHAnsi" w:cstheme="minorHAnsi"/>
        </w:rPr>
        <w:t xml:space="preserve"> </w:t>
      </w:r>
      <w:r w:rsidR="00682F31" w:rsidRPr="0003060E">
        <w:rPr>
          <w:rFonts w:asciiTheme="minorHAnsi" w:hAnsiTheme="minorHAnsi" w:cstheme="minorHAnsi"/>
        </w:rPr>
        <w:t xml:space="preserve">They have incorporated </w:t>
      </w:r>
      <w:r w:rsidRPr="0003060E">
        <w:rPr>
          <w:rFonts w:asciiTheme="minorHAnsi" w:hAnsiTheme="minorHAnsi" w:cstheme="minorHAnsi"/>
        </w:rPr>
        <w:t>the marketing and organisation</w:t>
      </w:r>
      <w:r w:rsidR="00712309" w:rsidRPr="0003060E">
        <w:rPr>
          <w:rFonts w:asciiTheme="minorHAnsi" w:hAnsiTheme="minorHAnsi" w:cstheme="minorHAnsi"/>
        </w:rPr>
        <w:t>al</w:t>
      </w:r>
      <w:r w:rsidRPr="0003060E">
        <w:rPr>
          <w:rFonts w:asciiTheme="minorHAnsi" w:hAnsiTheme="minorHAnsi" w:cstheme="minorHAnsi"/>
        </w:rPr>
        <w:t xml:space="preserve"> tool of charging clients for “billable hours”</w:t>
      </w:r>
      <w:r w:rsidR="00682F31" w:rsidRPr="0003060E">
        <w:rPr>
          <w:rFonts w:asciiTheme="minorHAnsi" w:hAnsiTheme="minorHAnsi" w:cstheme="minorHAnsi"/>
        </w:rPr>
        <w:t xml:space="preserve">, albeit to varying degrees perhaps still in some parts of Asia. </w:t>
      </w:r>
      <w:r w:rsidR="00712309" w:rsidRPr="0003060E">
        <w:rPr>
          <w:rFonts w:asciiTheme="minorHAnsi" w:hAnsiTheme="minorHAnsi" w:cstheme="minorHAnsi"/>
        </w:rPr>
        <w:t>T</w:t>
      </w:r>
      <w:r w:rsidRPr="0003060E">
        <w:rPr>
          <w:rFonts w:asciiTheme="minorHAnsi" w:hAnsiTheme="minorHAnsi" w:cstheme="minorHAnsi"/>
        </w:rPr>
        <w:t xml:space="preserve">his mechanism can lead to lower costs compared to resolving disputes based on the amount in dispute, </w:t>
      </w:r>
      <w:r w:rsidR="00712309" w:rsidRPr="0003060E">
        <w:rPr>
          <w:rFonts w:asciiTheme="minorHAnsi" w:hAnsiTheme="minorHAnsi" w:cstheme="minorHAnsi"/>
        </w:rPr>
        <w:t xml:space="preserve">but </w:t>
      </w:r>
      <w:r w:rsidRPr="0003060E">
        <w:rPr>
          <w:rFonts w:asciiTheme="minorHAnsi" w:hAnsiTheme="minorHAnsi" w:cstheme="minorHAnsi"/>
        </w:rPr>
        <w:t xml:space="preserve">it can also lead to perverse incentives. As Shahla Ali noted already a decade ago </w:t>
      </w:r>
      <w:r w:rsidR="00DE092A" w:rsidRPr="0003060E">
        <w:rPr>
          <w:rFonts w:asciiTheme="minorHAnsi" w:hAnsiTheme="minorHAnsi" w:cstheme="minorHAnsi"/>
        </w:rPr>
        <w:t>in one of her interviews</w:t>
      </w:r>
      <w:r w:rsidRPr="0003060E">
        <w:rPr>
          <w:rFonts w:asciiTheme="minorHAnsi" w:hAnsiTheme="minorHAnsi" w:cstheme="minorHAnsi"/>
        </w:rPr>
        <w:t xml:space="preserve"> of </w:t>
      </w:r>
      <w:r w:rsidR="00DE092A" w:rsidRPr="0003060E">
        <w:rPr>
          <w:rFonts w:asciiTheme="minorHAnsi" w:hAnsiTheme="minorHAnsi" w:cstheme="minorHAnsi"/>
        </w:rPr>
        <w:t xml:space="preserve">mostly Asia-based IA stakeholders, finding also through survey evidence that IA in the region was not </w:t>
      </w:r>
      <w:r w:rsidR="00DE092A" w:rsidRPr="0003060E">
        <w:rPr>
          <w:rFonts w:asciiTheme="minorHAnsi" w:hAnsiTheme="minorHAnsi" w:cstheme="minorHAnsi"/>
        </w:rPr>
        <w:lastRenderedPageBreak/>
        <w:t>perceived as having much time or especially cost advantages over cross-border litigation (as in the West already from the 1990s):</w:t>
      </w:r>
      <w:r w:rsidR="00DE092A" w:rsidRPr="0003060E">
        <w:rPr>
          <w:rStyle w:val="FootnoteReference"/>
          <w:rFonts w:asciiTheme="minorHAnsi" w:hAnsiTheme="minorHAnsi" w:cstheme="minorHAnsi"/>
        </w:rPr>
        <w:footnoteReference w:id="47"/>
      </w:r>
    </w:p>
    <w:p w14:paraId="5B0E24B4" w14:textId="10F558FD" w:rsidR="00DE092A" w:rsidRPr="0003060E" w:rsidRDefault="00C83FF9" w:rsidP="00E76D41">
      <w:pPr>
        <w:spacing w:before="120"/>
        <w:ind w:left="720"/>
        <w:jc w:val="both"/>
        <w:rPr>
          <w:rFonts w:asciiTheme="minorHAnsi" w:hAnsiTheme="minorHAnsi" w:cstheme="minorHAnsi"/>
        </w:rPr>
      </w:pPr>
      <w:r w:rsidRPr="0003060E">
        <w:rPr>
          <w:rFonts w:asciiTheme="minorHAnsi" w:hAnsiTheme="minorHAnsi" w:cstheme="minorHAnsi"/>
        </w:rPr>
        <w:t>“</w:t>
      </w:r>
      <w:r w:rsidRPr="0003060E">
        <w:rPr>
          <w:rFonts w:asciiTheme="minorHAnsi" w:hAnsiTheme="minorHAnsi" w:cstheme="minorHAnsi"/>
          <w:lang w:val="en-GB"/>
        </w:rPr>
        <w:t>When I was a new partner involved in several arbitrations in which I could easily see a settlement option early on I suggested to the other partners that this case could easily settle. The partners didn’t say anything, but the unspoken message was that such a suggestion was not acceptable because their billable hour requirements were contingent on the prolongation of the arbitration. This was the key to their annual bonus.</w:t>
      </w:r>
      <w:r w:rsidRPr="0003060E">
        <w:rPr>
          <w:rFonts w:asciiTheme="minorHAnsi" w:hAnsiTheme="minorHAnsi" w:cstheme="minorHAnsi"/>
        </w:rPr>
        <w:t>”</w:t>
      </w:r>
    </w:p>
    <w:p w14:paraId="1E21CED0" w14:textId="25DCB3EE" w:rsidR="00DE092A" w:rsidRPr="0003060E" w:rsidRDefault="00682F31" w:rsidP="00E76D41">
      <w:pPr>
        <w:spacing w:before="120"/>
        <w:jc w:val="both"/>
        <w:rPr>
          <w:rFonts w:asciiTheme="minorHAnsi" w:hAnsiTheme="minorHAnsi" w:cstheme="minorHAnsi"/>
        </w:rPr>
      </w:pPr>
      <w:r w:rsidRPr="0003060E">
        <w:rPr>
          <w:rFonts w:asciiTheme="minorHAnsi" w:hAnsiTheme="minorHAnsi" w:cstheme="minorHAnsi"/>
        </w:rPr>
        <w:t>More recently, acknowledging</w:t>
      </w:r>
      <w:r w:rsidR="00DE092A" w:rsidRPr="0003060E">
        <w:rPr>
          <w:rFonts w:asciiTheme="minorHAnsi" w:hAnsiTheme="minorHAnsi" w:cstheme="minorHAnsi"/>
        </w:rPr>
        <w:t xml:space="preserve"> higher</w:t>
      </w:r>
      <w:r w:rsidRPr="0003060E">
        <w:rPr>
          <w:rFonts w:asciiTheme="minorHAnsi" w:hAnsiTheme="minorHAnsi" w:cstheme="minorHAnsi"/>
        </w:rPr>
        <w:t xml:space="preserve"> pandemic-fuelled</w:t>
      </w:r>
      <w:r w:rsidR="00DE092A" w:rsidRPr="0003060E">
        <w:rPr>
          <w:rFonts w:asciiTheme="minorHAnsi" w:hAnsiTheme="minorHAnsi" w:cstheme="minorHAnsi"/>
        </w:rPr>
        <w:t xml:space="preserve"> inflation and the slowdown in the global economy, we are seeing some law</w:t>
      </w:r>
      <w:r w:rsidRPr="0003060E">
        <w:rPr>
          <w:rFonts w:asciiTheme="minorHAnsi" w:hAnsiTheme="minorHAnsi" w:cstheme="minorHAnsi"/>
        </w:rPr>
        <w:t xml:space="preserve"> firms</w:t>
      </w:r>
      <w:r w:rsidR="00DE092A" w:rsidRPr="0003060E">
        <w:rPr>
          <w:rFonts w:asciiTheme="minorHAnsi" w:hAnsiTheme="minorHAnsi" w:cstheme="minorHAnsi"/>
        </w:rPr>
        <w:t xml:space="preserve"> starting to acknowledge and promote other types of arrangements for keeping legal costs down, or funding them directly or via third parties.</w:t>
      </w:r>
      <w:r w:rsidR="00DE092A" w:rsidRPr="0003060E">
        <w:rPr>
          <w:rStyle w:val="FootnoteReference"/>
          <w:rFonts w:asciiTheme="minorHAnsi" w:hAnsiTheme="minorHAnsi" w:cstheme="minorHAnsi"/>
        </w:rPr>
        <w:footnoteReference w:id="48"/>
      </w:r>
      <w:r w:rsidR="00DE092A" w:rsidRPr="0003060E">
        <w:rPr>
          <w:rFonts w:asciiTheme="minorHAnsi" w:hAnsiTheme="minorHAnsi" w:cstheme="minorHAnsi"/>
        </w:rPr>
        <w:t xml:space="preserve"> Yet this may be too little and too late</w:t>
      </w:r>
      <w:r w:rsidR="0075748E" w:rsidRPr="0003060E">
        <w:rPr>
          <w:rFonts w:asciiTheme="minorHAnsi" w:hAnsiTheme="minorHAnsi" w:cstheme="minorHAnsi"/>
        </w:rPr>
        <w:t xml:space="preserve"> to reinstate IA as an efficient cross-border DR mechanism</w:t>
      </w:r>
      <w:r w:rsidR="00DE092A" w:rsidRPr="0003060E">
        <w:rPr>
          <w:rFonts w:asciiTheme="minorHAnsi" w:hAnsiTheme="minorHAnsi" w:cstheme="minorHAnsi"/>
        </w:rPr>
        <w:t>.</w:t>
      </w:r>
    </w:p>
    <w:p w14:paraId="1AAA0BD4" w14:textId="11CAD5EE" w:rsidR="0034401F" w:rsidRPr="0003060E" w:rsidRDefault="00682F31" w:rsidP="00E76D41">
      <w:pPr>
        <w:spacing w:before="120"/>
        <w:jc w:val="both"/>
        <w:rPr>
          <w:rFonts w:asciiTheme="minorHAnsi" w:hAnsiTheme="minorHAnsi" w:cstheme="minorHAnsi"/>
        </w:rPr>
      </w:pPr>
      <w:r w:rsidRPr="0003060E">
        <w:rPr>
          <w:rFonts w:asciiTheme="minorHAnsi" w:hAnsiTheme="minorHAnsi" w:cstheme="minorHAnsi"/>
        </w:rPr>
        <w:t>Thirdly,</w:t>
      </w:r>
      <w:r w:rsidR="00210145" w:rsidRPr="0003060E">
        <w:rPr>
          <w:rFonts w:asciiTheme="minorHAnsi" w:hAnsiTheme="minorHAnsi" w:cstheme="minorHAnsi"/>
        </w:rPr>
        <w:t xml:space="preserve"> perhaps reflecting conservatism among IA practitioners or even some self-interest,</w:t>
      </w:r>
      <w:r w:rsidRPr="0003060E">
        <w:rPr>
          <w:rFonts w:asciiTheme="minorHAnsi" w:hAnsiTheme="minorHAnsi" w:cstheme="minorHAnsi"/>
        </w:rPr>
        <w:t xml:space="preserve"> </w:t>
      </w:r>
      <w:r w:rsidR="003452C2" w:rsidRPr="0003060E">
        <w:rPr>
          <w:rFonts w:asciiTheme="minorHAnsi" w:hAnsiTheme="minorHAnsi" w:cstheme="minorHAnsi"/>
        </w:rPr>
        <w:t>we have not witnessed much innovation among legal advisor or institutions to rein in costs, especially legal fees. As one example</w:t>
      </w:r>
      <w:r w:rsidRPr="0003060E">
        <w:rPr>
          <w:rFonts w:asciiTheme="minorHAnsi" w:hAnsiTheme="minorHAnsi" w:cstheme="minorHAnsi"/>
        </w:rPr>
        <w:t xml:space="preserve">, </w:t>
      </w:r>
      <w:r w:rsidR="003452C2" w:rsidRPr="0003060E">
        <w:rPr>
          <w:rFonts w:asciiTheme="minorHAnsi" w:hAnsiTheme="minorHAnsi" w:cstheme="minorHAnsi"/>
        </w:rPr>
        <w:t>in IA there has not been</w:t>
      </w:r>
      <w:r w:rsidRPr="0003060E">
        <w:rPr>
          <w:rFonts w:asciiTheme="minorHAnsi" w:hAnsiTheme="minorHAnsi" w:cstheme="minorHAnsi"/>
        </w:rPr>
        <w:t xml:space="preserve"> any noticeable spread of the “sealed offers” practice that emerged in Anglo-Commonwealth litigation practices to counteract the potentially harsh outcome of the “costs follow the event” principle</w:t>
      </w:r>
      <w:r w:rsidR="003452C2" w:rsidRPr="0003060E">
        <w:rPr>
          <w:rFonts w:asciiTheme="minorHAnsi" w:hAnsiTheme="minorHAnsi" w:cstheme="minorHAnsi"/>
        </w:rPr>
        <w:t>, even though that</w:t>
      </w:r>
      <w:r w:rsidR="00FD202C" w:rsidRPr="0003060E">
        <w:rPr>
          <w:rFonts w:asciiTheme="minorHAnsi" w:hAnsiTheme="minorHAnsi" w:cstheme="minorHAnsi"/>
        </w:rPr>
        <w:t xml:space="preserve"> principle</w:t>
      </w:r>
      <w:r w:rsidR="003452C2" w:rsidRPr="0003060E">
        <w:rPr>
          <w:rFonts w:asciiTheme="minorHAnsi" w:hAnsiTheme="minorHAnsi" w:cstheme="minorHAnsi"/>
        </w:rPr>
        <w:t xml:space="preserve"> is </w:t>
      </w:r>
      <w:r w:rsidRPr="0003060E">
        <w:rPr>
          <w:rFonts w:asciiTheme="minorHAnsi" w:hAnsiTheme="minorHAnsi" w:cstheme="minorHAnsi"/>
        </w:rPr>
        <w:t>increasingly prevalent in ICA and more recently</w:t>
      </w:r>
      <w:r w:rsidR="00F65BF1" w:rsidRPr="0003060E">
        <w:rPr>
          <w:rFonts w:asciiTheme="minorHAnsi" w:hAnsiTheme="minorHAnsi" w:cstheme="minorHAnsi"/>
        </w:rPr>
        <w:t xml:space="preserve"> (and less distinctly)</w:t>
      </w:r>
      <w:r w:rsidRPr="0003060E">
        <w:rPr>
          <w:rFonts w:asciiTheme="minorHAnsi" w:hAnsiTheme="minorHAnsi" w:cstheme="minorHAnsi"/>
        </w:rPr>
        <w:t xml:space="preserve"> in ISA.</w:t>
      </w:r>
      <w:r w:rsidRPr="0003060E">
        <w:rPr>
          <w:rStyle w:val="FootnoteReference"/>
          <w:rFonts w:asciiTheme="minorHAnsi" w:hAnsiTheme="minorHAnsi" w:cstheme="minorHAnsi"/>
        </w:rPr>
        <w:footnoteReference w:id="49"/>
      </w:r>
      <w:r w:rsidRPr="0003060E">
        <w:rPr>
          <w:rFonts w:asciiTheme="minorHAnsi" w:hAnsiTheme="minorHAnsi" w:cstheme="minorHAnsi"/>
        </w:rPr>
        <w:t xml:space="preserve"> </w:t>
      </w:r>
      <w:r w:rsidR="006B25CF" w:rsidRPr="0003060E">
        <w:rPr>
          <w:rFonts w:asciiTheme="minorHAnsi" w:hAnsiTheme="minorHAnsi" w:cstheme="minorHAnsi"/>
        </w:rPr>
        <w:t>T</w:t>
      </w:r>
      <w:r w:rsidRPr="0003060E">
        <w:rPr>
          <w:rFonts w:asciiTheme="minorHAnsi" w:hAnsiTheme="minorHAnsi" w:cstheme="minorHAnsi"/>
        </w:rPr>
        <w:t xml:space="preserve">he </w:t>
      </w:r>
      <w:r w:rsidR="003452C2" w:rsidRPr="0003060E">
        <w:rPr>
          <w:rFonts w:asciiTheme="minorHAnsi" w:hAnsiTheme="minorHAnsi" w:cstheme="minorHAnsi"/>
        </w:rPr>
        <w:t xml:space="preserve">sealed or </w:t>
      </w:r>
      <w:r w:rsidR="003452C2" w:rsidRPr="0003060E">
        <w:rPr>
          <w:rFonts w:asciiTheme="minorHAnsi" w:hAnsiTheme="minorHAnsi" w:cstheme="minorHAnsi"/>
          <w:i/>
          <w:iCs/>
        </w:rPr>
        <w:t>Calderbank</w:t>
      </w:r>
      <w:r w:rsidR="003452C2" w:rsidRPr="0003060E">
        <w:rPr>
          <w:rFonts w:asciiTheme="minorHAnsi" w:hAnsiTheme="minorHAnsi" w:cstheme="minorHAnsi"/>
        </w:rPr>
        <w:t xml:space="preserve"> offer </w:t>
      </w:r>
      <w:r w:rsidRPr="0003060E">
        <w:rPr>
          <w:rFonts w:asciiTheme="minorHAnsi" w:hAnsiTheme="minorHAnsi" w:cstheme="minorHAnsi"/>
        </w:rPr>
        <w:t>practice can dramatically reduce dispute resolution costs and delays</w:t>
      </w:r>
      <w:r w:rsidR="006B25CF" w:rsidRPr="0003060E">
        <w:rPr>
          <w:rFonts w:asciiTheme="minorHAnsi" w:hAnsiTheme="minorHAnsi" w:cstheme="minorHAnsi"/>
        </w:rPr>
        <w:t>, and</w:t>
      </w:r>
      <w:r w:rsidR="003452C2" w:rsidRPr="0003060E">
        <w:rPr>
          <w:rFonts w:asciiTheme="minorHAnsi" w:hAnsiTheme="minorHAnsi" w:cstheme="minorHAnsi"/>
        </w:rPr>
        <w:t xml:space="preserve"> </w:t>
      </w:r>
      <w:r w:rsidR="006B25CF" w:rsidRPr="0003060E">
        <w:rPr>
          <w:rFonts w:asciiTheme="minorHAnsi" w:hAnsiTheme="minorHAnsi" w:cstheme="minorHAnsi"/>
        </w:rPr>
        <w:t>the Malaysian Arbitration 2005 s44(2)</w:t>
      </w:r>
      <w:r w:rsidR="008E4456" w:rsidRPr="0003060E">
        <w:rPr>
          <w:rFonts w:asciiTheme="minorHAnsi" w:hAnsiTheme="minorHAnsi" w:cstheme="minorHAnsi"/>
        </w:rPr>
        <w:t xml:space="preserve"> follows the New Zealand’s Arbitration Act (Schedule 2 Art 6(s) in adding </w:t>
      </w:r>
      <w:r w:rsidR="006B25CF" w:rsidRPr="0003060E">
        <w:rPr>
          <w:rFonts w:asciiTheme="minorHAnsi" w:hAnsiTheme="minorHAnsi" w:cstheme="minorHAnsi"/>
        </w:rPr>
        <w:t>a similar mechanism for domestic arbitrations</w:t>
      </w:r>
      <w:r w:rsidRPr="0003060E">
        <w:rPr>
          <w:rFonts w:asciiTheme="minorHAnsi" w:hAnsiTheme="minorHAnsi" w:cstheme="minorHAnsi"/>
        </w:rPr>
        <w:t>. If one party’s written offer made “without prejudice to costs” is not accepted by the other, which ultimately achieves an outcome less favourable</w:t>
      </w:r>
      <w:r w:rsidR="006B25CF" w:rsidRPr="0003060E">
        <w:rPr>
          <w:rFonts w:asciiTheme="minorHAnsi" w:hAnsiTheme="minorHAnsi" w:cstheme="minorHAnsi"/>
        </w:rPr>
        <w:t>, the offer can be revealed and prevent the latter from claiming from the former its party (especially lawyer) costs incurred after the offer was rejected.</w:t>
      </w:r>
    </w:p>
    <w:p w14:paraId="4DAF8E52" w14:textId="3F3542B1" w:rsidR="0075748E" w:rsidRPr="0003060E" w:rsidRDefault="006B25CF" w:rsidP="00E76D41">
      <w:pPr>
        <w:spacing w:before="120"/>
        <w:jc w:val="both"/>
        <w:rPr>
          <w:rFonts w:asciiTheme="minorHAnsi" w:hAnsiTheme="minorHAnsi" w:cstheme="minorHAnsi"/>
        </w:rPr>
      </w:pPr>
      <w:r w:rsidRPr="0003060E">
        <w:rPr>
          <w:rFonts w:asciiTheme="minorHAnsi" w:hAnsiTheme="minorHAnsi" w:cstheme="minorHAnsi"/>
        </w:rPr>
        <w:t>Anecdotal evidence suggests this arrangement is sometimes agreed in I</w:t>
      </w:r>
      <w:r w:rsidR="0076687D" w:rsidRPr="0003060E">
        <w:rPr>
          <w:rFonts w:asciiTheme="minorHAnsi" w:hAnsiTheme="minorHAnsi" w:cstheme="minorHAnsi"/>
        </w:rPr>
        <w:t>C</w:t>
      </w:r>
      <w:r w:rsidRPr="0003060E">
        <w:rPr>
          <w:rFonts w:asciiTheme="minorHAnsi" w:hAnsiTheme="minorHAnsi" w:cstheme="minorHAnsi"/>
        </w:rPr>
        <w:t>A among counsel and tribunals especially from common law backgrounds. However, no</w:t>
      </w:r>
      <w:r w:rsidR="00435D46" w:rsidRPr="0003060E">
        <w:rPr>
          <w:rFonts w:asciiTheme="minorHAnsi" w:hAnsiTheme="minorHAnsi" w:cstheme="minorHAnsi"/>
        </w:rPr>
        <w:t xml:space="preserve">ne of the busiest </w:t>
      </w:r>
      <w:r w:rsidRPr="0003060E">
        <w:rPr>
          <w:rFonts w:asciiTheme="minorHAnsi" w:hAnsiTheme="minorHAnsi" w:cstheme="minorHAnsi"/>
        </w:rPr>
        <w:t>arb</w:t>
      </w:r>
      <w:r w:rsidR="0034401F" w:rsidRPr="0003060E">
        <w:rPr>
          <w:rFonts w:asciiTheme="minorHAnsi" w:hAnsiTheme="minorHAnsi" w:cstheme="minorHAnsi"/>
        </w:rPr>
        <w:t>itration</w:t>
      </w:r>
      <w:r w:rsidRPr="0003060E">
        <w:rPr>
          <w:rFonts w:asciiTheme="minorHAnsi" w:hAnsiTheme="minorHAnsi" w:cstheme="minorHAnsi"/>
        </w:rPr>
        <w:t xml:space="preserve"> institution</w:t>
      </w:r>
      <w:r w:rsidR="00435D46" w:rsidRPr="0003060E">
        <w:rPr>
          <w:rFonts w:asciiTheme="minorHAnsi" w:hAnsiTheme="minorHAnsi" w:cstheme="minorHAnsi"/>
        </w:rPr>
        <w:t>s</w:t>
      </w:r>
      <w:r w:rsidRPr="0003060E">
        <w:rPr>
          <w:rFonts w:asciiTheme="minorHAnsi" w:hAnsiTheme="minorHAnsi" w:cstheme="minorHAnsi"/>
        </w:rPr>
        <w:t xml:space="preserve"> </w:t>
      </w:r>
      <w:r w:rsidR="0034401F" w:rsidRPr="0003060E">
        <w:rPr>
          <w:rFonts w:asciiTheme="minorHAnsi" w:hAnsiTheme="minorHAnsi" w:cstheme="minorHAnsi"/>
        </w:rPr>
        <w:t xml:space="preserve">seems to have </w:t>
      </w:r>
      <w:r w:rsidRPr="0003060E">
        <w:rPr>
          <w:rFonts w:asciiTheme="minorHAnsi" w:hAnsiTheme="minorHAnsi" w:cstheme="minorHAnsi"/>
        </w:rPr>
        <w:t>added this arrangement to its Rules</w:t>
      </w:r>
      <w:r w:rsidR="0034401F" w:rsidRPr="0003060E">
        <w:rPr>
          <w:rFonts w:asciiTheme="minorHAnsi" w:hAnsiTheme="minorHAnsi" w:cstheme="minorHAnsi"/>
        </w:rPr>
        <w:t xml:space="preserve"> for IA</w:t>
      </w:r>
      <w:r w:rsidRPr="0003060E">
        <w:rPr>
          <w:rFonts w:asciiTheme="minorHAnsi" w:hAnsiTheme="minorHAnsi" w:cstheme="minorHAnsi"/>
        </w:rPr>
        <w:t xml:space="preserve"> (either as an automatic </w:t>
      </w:r>
      <w:r w:rsidRPr="0003060E">
        <w:rPr>
          <w:rFonts w:asciiTheme="minorHAnsi" w:hAnsiTheme="minorHAnsi" w:cstheme="minorHAnsi"/>
        </w:rPr>
        <w:lastRenderedPageBreak/>
        <w:t>provision if a tribunal applies the costs follows the event principle, or more conservatively as an extra opt-in or model clause)</w:t>
      </w:r>
      <w:r w:rsidR="0076687D" w:rsidRPr="0003060E">
        <w:rPr>
          <w:rFonts w:asciiTheme="minorHAnsi" w:hAnsiTheme="minorHAnsi" w:cstheme="minorHAnsi"/>
        </w:rPr>
        <w:t xml:space="preserve">. There was </w:t>
      </w:r>
      <w:r w:rsidR="007D332B" w:rsidRPr="0003060E">
        <w:rPr>
          <w:rFonts w:asciiTheme="minorHAnsi" w:hAnsiTheme="minorHAnsi" w:cstheme="minorHAnsi"/>
        </w:rPr>
        <w:t xml:space="preserve">a brief mention in the </w:t>
      </w:r>
      <w:r w:rsidR="00210145" w:rsidRPr="0003060E">
        <w:rPr>
          <w:rFonts w:asciiTheme="minorHAnsi" w:hAnsiTheme="minorHAnsi" w:cstheme="minorHAnsi"/>
        </w:rPr>
        <w:t xml:space="preserve">1999 and </w:t>
      </w:r>
      <w:r w:rsidR="007D332B" w:rsidRPr="0003060E">
        <w:rPr>
          <w:rFonts w:asciiTheme="minorHAnsi" w:hAnsiTheme="minorHAnsi" w:cstheme="minorHAnsi"/>
        </w:rPr>
        <w:t>2007 Arbitration Rules of the Institute of Arbitrators and Mediators Australia (IAMA)</w:t>
      </w:r>
      <w:r w:rsidR="00210145" w:rsidRPr="0003060E">
        <w:rPr>
          <w:rFonts w:asciiTheme="minorHAnsi" w:hAnsiTheme="minorHAnsi" w:cstheme="minorHAnsi"/>
        </w:rPr>
        <w:t>. However, this was not carried over into its successor Rules and the institution was and remains primarily focused on domestic arbitrations</w:t>
      </w:r>
      <w:r w:rsidR="007D332B" w:rsidRPr="0003060E">
        <w:rPr>
          <w:rFonts w:asciiTheme="minorHAnsi" w:hAnsiTheme="minorHAnsi" w:cstheme="minorHAnsi"/>
        </w:rPr>
        <w:t>.</w:t>
      </w:r>
      <w:r w:rsidR="007D332B" w:rsidRPr="0003060E">
        <w:rPr>
          <w:rStyle w:val="FootnoteReference"/>
          <w:rFonts w:asciiTheme="minorHAnsi" w:hAnsiTheme="minorHAnsi" w:cstheme="minorHAnsi"/>
        </w:rPr>
        <w:footnoteReference w:id="50"/>
      </w:r>
      <w:r w:rsidR="007D332B" w:rsidRPr="0003060E">
        <w:rPr>
          <w:rFonts w:asciiTheme="minorHAnsi" w:hAnsiTheme="minorHAnsi" w:cstheme="minorHAnsi"/>
        </w:rPr>
        <w:t xml:space="preserve"> </w:t>
      </w:r>
      <w:r w:rsidR="00435D46" w:rsidRPr="0003060E">
        <w:rPr>
          <w:rFonts w:asciiTheme="minorHAnsi" w:hAnsiTheme="minorHAnsi" w:cstheme="minorHAnsi"/>
        </w:rPr>
        <w:t>However, the quite recently-established New Zealand International Arbitration Centre, in Art 37.5 of its 2018 Standard Arbitration Rules, states that the tribunal “may take into account such matters as it considers relevant, including … whether a settlement offer no less favourable than the Award was made and rejected”.</w:t>
      </w:r>
      <w:r w:rsidR="006C3CA1" w:rsidRPr="0003060E">
        <w:rPr>
          <w:rStyle w:val="FootnoteReference"/>
          <w:rFonts w:asciiTheme="minorHAnsi" w:hAnsiTheme="minorHAnsi" w:cstheme="minorHAnsi"/>
        </w:rPr>
        <w:footnoteReference w:id="51"/>
      </w:r>
      <w:r w:rsidR="00435D46" w:rsidRPr="0003060E">
        <w:rPr>
          <w:rFonts w:asciiTheme="minorHAnsi" w:hAnsiTheme="minorHAnsi" w:cstheme="minorHAnsi"/>
        </w:rPr>
        <w:t xml:space="preserve"> A July 2023 ICC report </w:t>
      </w:r>
      <w:r w:rsidR="006C3CA1" w:rsidRPr="0003060E">
        <w:rPr>
          <w:rFonts w:asciiTheme="minorHAnsi" w:hAnsiTheme="minorHAnsi" w:cstheme="minorHAnsi"/>
        </w:rPr>
        <w:t xml:space="preserve">generally </w:t>
      </w:r>
      <w:r w:rsidR="00435D46" w:rsidRPr="0003060E">
        <w:rPr>
          <w:rFonts w:asciiTheme="minorHAnsi" w:hAnsiTheme="minorHAnsi" w:cstheme="minorHAnsi"/>
        </w:rPr>
        <w:t xml:space="preserve">on </w:t>
      </w:r>
      <w:r w:rsidR="00435D46" w:rsidRPr="0003060E">
        <w:rPr>
          <w:rFonts w:asciiTheme="minorHAnsi" w:hAnsiTheme="minorHAnsi" w:cstheme="minorHAnsi"/>
          <w:i/>
          <w:iCs/>
        </w:rPr>
        <w:t>Effective Conflict Management</w:t>
      </w:r>
      <w:r w:rsidR="00435D46" w:rsidRPr="0003060E">
        <w:rPr>
          <w:rFonts w:asciiTheme="minorHAnsi" w:hAnsiTheme="minorHAnsi" w:cstheme="minorHAnsi"/>
        </w:rPr>
        <w:t xml:space="preserve"> also mentions the possibility of using sealed offers to control legal costs.</w:t>
      </w:r>
      <w:r w:rsidR="006C3CA1" w:rsidRPr="0003060E">
        <w:rPr>
          <w:rStyle w:val="FootnoteReference"/>
          <w:rFonts w:asciiTheme="minorHAnsi" w:hAnsiTheme="minorHAnsi" w:cstheme="minorHAnsi"/>
        </w:rPr>
        <w:footnoteReference w:id="52"/>
      </w:r>
      <w:r w:rsidR="00435D46" w:rsidRPr="0003060E">
        <w:rPr>
          <w:rFonts w:asciiTheme="minorHAnsi" w:hAnsiTheme="minorHAnsi" w:cstheme="minorHAnsi"/>
        </w:rPr>
        <w:t xml:space="preserve"> Nonetheless, the concept has not seemingly been </w:t>
      </w:r>
      <w:r w:rsidR="006C3CA1" w:rsidRPr="0003060E">
        <w:rPr>
          <w:rFonts w:asciiTheme="minorHAnsi" w:hAnsiTheme="minorHAnsi" w:cstheme="minorHAnsi"/>
        </w:rPr>
        <w:t xml:space="preserve">otherwise much </w:t>
      </w:r>
      <w:r w:rsidR="0034401F" w:rsidRPr="0003060E">
        <w:rPr>
          <w:rFonts w:asciiTheme="minorHAnsi" w:hAnsiTheme="minorHAnsi" w:cstheme="minorHAnsi"/>
        </w:rPr>
        <w:t xml:space="preserve">publicised </w:t>
      </w:r>
      <w:r w:rsidRPr="0003060E">
        <w:rPr>
          <w:rFonts w:asciiTheme="minorHAnsi" w:hAnsiTheme="minorHAnsi" w:cstheme="minorHAnsi"/>
        </w:rPr>
        <w:t xml:space="preserve">in </w:t>
      </w:r>
      <w:r w:rsidR="00210145" w:rsidRPr="0003060E">
        <w:rPr>
          <w:rFonts w:asciiTheme="minorHAnsi" w:hAnsiTheme="minorHAnsi" w:cstheme="minorHAnsi"/>
        </w:rPr>
        <w:t>the</w:t>
      </w:r>
      <w:r w:rsidRPr="0003060E">
        <w:rPr>
          <w:rFonts w:asciiTheme="minorHAnsi" w:hAnsiTheme="minorHAnsi" w:cstheme="minorHAnsi"/>
        </w:rPr>
        <w:t xml:space="preserve"> </w:t>
      </w:r>
      <w:r w:rsidR="00AC5E59" w:rsidRPr="0003060E">
        <w:rPr>
          <w:rFonts w:asciiTheme="minorHAnsi" w:hAnsiTheme="minorHAnsi" w:cstheme="minorHAnsi"/>
        </w:rPr>
        <w:t xml:space="preserve">otherwise </w:t>
      </w:r>
      <w:r w:rsidRPr="0003060E">
        <w:rPr>
          <w:rFonts w:asciiTheme="minorHAnsi" w:hAnsiTheme="minorHAnsi" w:cstheme="minorHAnsi"/>
        </w:rPr>
        <w:t>proliferating public seminars or conferences</w:t>
      </w:r>
      <w:r w:rsidR="00210145" w:rsidRPr="0003060E">
        <w:rPr>
          <w:rFonts w:asciiTheme="minorHAnsi" w:hAnsiTheme="minorHAnsi" w:cstheme="minorHAnsi"/>
        </w:rPr>
        <w:t xml:space="preserve"> supported by IA-focused institutions</w:t>
      </w:r>
      <w:r w:rsidR="00AC5E59" w:rsidRPr="0003060E">
        <w:rPr>
          <w:rFonts w:asciiTheme="minorHAnsi" w:hAnsiTheme="minorHAnsi" w:cstheme="minorHAnsi"/>
        </w:rPr>
        <w:t>,</w:t>
      </w:r>
      <w:r w:rsidR="00210145" w:rsidRPr="0003060E">
        <w:rPr>
          <w:rFonts w:asciiTheme="minorHAnsi" w:hAnsiTheme="minorHAnsi" w:cstheme="minorHAnsi"/>
        </w:rPr>
        <w:t xml:space="preserve"> or even wider associations promoting arbitration</w:t>
      </w:r>
      <w:r w:rsidR="00AC5E59" w:rsidRPr="0003060E">
        <w:rPr>
          <w:rFonts w:asciiTheme="minorHAnsi" w:hAnsiTheme="minorHAnsi" w:cstheme="minorHAnsi"/>
        </w:rPr>
        <w:t>.</w:t>
      </w:r>
      <w:r w:rsidR="00F65BF1" w:rsidRPr="0003060E">
        <w:rPr>
          <w:rFonts w:asciiTheme="minorHAnsi" w:hAnsiTheme="minorHAnsi" w:cstheme="minorHAnsi"/>
        </w:rPr>
        <w:t xml:space="preserve"> It receives even less mention in</w:t>
      </w:r>
      <w:r w:rsidR="00F91971" w:rsidRPr="0003060E">
        <w:rPr>
          <w:rFonts w:asciiTheme="minorHAnsi" w:hAnsiTheme="minorHAnsi" w:cstheme="minorHAnsi"/>
        </w:rPr>
        <w:t xml:space="preserve"> </w:t>
      </w:r>
      <w:r w:rsidR="00F65BF1" w:rsidRPr="0003060E">
        <w:rPr>
          <w:rFonts w:asciiTheme="minorHAnsi" w:hAnsiTheme="minorHAnsi" w:cstheme="minorHAnsi"/>
        </w:rPr>
        <w:t>ISA</w:t>
      </w:r>
      <w:r w:rsidR="00F91971" w:rsidRPr="0003060E">
        <w:rPr>
          <w:rFonts w:asciiTheme="minorHAnsi" w:hAnsiTheme="minorHAnsi" w:cstheme="minorHAnsi"/>
        </w:rPr>
        <w:t>-specific contexts</w:t>
      </w:r>
      <w:r w:rsidR="00F65BF1" w:rsidRPr="0003060E">
        <w:rPr>
          <w:rFonts w:asciiTheme="minorHAnsi" w:hAnsiTheme="minorHAnsi" w:cstheme="minorHAnsi"/>
        </w:rPr>
        <w:t>.</w:t>
      </w:r>
      <w:r w:rsidR="00F65BF1" w:rsidRPr="0003060E">
        <w:rPr>
          <w:rStyle w:val="FootnoteReference"/>
          <w:rFonts w:asciiTheme="minorHAnsi" w:hAnsiTheme="minorHAnsi" w:cstheme="minorHAnsi"/>
        </w:rPr>
        <w:footnoteReference w:id="53"/>
      </w:r>
    </w:p>
    <w:p w14:paraId="5A5CF32A" w14:textId="71EF8818" w:rsidR="004E3061" w:rsidRPr="0003060E" w:rsidRDefault="003452C2" w:rsidP="00E76D41">
      <w:pPr>
        <w:spacing w:before="120"/>
        <w:jc w:val="both"/>
        <w:rPr>
          <w:rFonts w:asciiTheme="minorHAnsi" w:hAnsiTheme="minorHAnsi" w:cstheme="minorHAnsi"/>
        </w:rPr>
      </w:pPr>
      <w:r w:rsidRPr="0003060E">
        <w:rPr>
          <w:rFonts w:asciiTheme="minorHAnsi" w:hAnsiTheme="minorHAnsi" w:cstheme="minorHAnsi"/>
        </w:rPr>
        <w:t>As another example of conservatism in IA</w:t>
      </w:r>
      <w:r w:rsidR="006B25CF" w:rsidRPr="0003060E">
        <w:rPr>
          <w:rFonts w:asciiTheme="minorHAnsi" w:hAnsiTheme="minorHAnsi" w:cstheme="minorHAnsi"/>
        </w:rPr>
        <w:t xml:space="preserve">, </w:t>
      </w:r>
      <w:r w:rsidR="007D332B" w:rsidRPr="0003060E">
        <w:rPr>
          <w:rFonts w:asciiTheme="minorHAnsi" w:hAnsiTheme="minorHAnsi" w:cstheme="minorHAnsi"/>
        </w:rPr>
        <w:t xml:space="preserve">although there </w:t>
      </w:r>
      <w:r w:rsidRPr="0003060E">
        <w:rPr>
          <w:rFonts w:asciiTheme="minorHAnsi" w:hAnsiTheme="minorHAnsi" w:cstheme="minorHAnsi"/>
        </w:rPr>
        <w:t xml:space="preserve">have recently been </w:t>
      </w:r>
      <w:r w:rsidR="007D332B" w:rsidRPr="0003060E">
        <w:rPr>
          <w:rFonts w:asciiTheme="minorHAnsi" w:hAnsiTheme="minorHAnsi" w:cstheme="minorHAnsi"/>
        </w:rPr>
        <w:t>some Rules amendments to limit or at least scrutinise more carefully the fees paid to arbitrators (notably by the ICC from 2016, with discretion to dock fees for delays by arbitrators),</w:t>
      </w:r>
      <w:r w:rsidR="007D332B" w:rsidRPr="0003060E">
        <w:rPr>
          <w:rStyle w:val="FootnoteReference"/>
          <w:rFonts w:asciiTheme="minorHAnsi" w:hAnsiTheme="minorHAnsi" w:cstheme="minorHAnsi"/>
        </w:rPr>
        <w:footnoteReference w:id="54"/>
      </w:r>
      <w:r w:rsidR="007D332B" w:rsidRPr="0003060E">
        <w:rPr>
          <w:rFonts w:asciiTheme="minorHAnsi" w:hAnsiTheme="minorHAnsi" w:cstheme="minorHAnsi"/>
        </w:rPr>
        <w:t xml:space="preserve"> no Rules </w:t>
      </w:r>
      <w:r w:rsidR="00BE5554" w:rsidRPr="0003060E">
        <w:rPr>
          <w:rFonts w:asciiTheme="minorHAnsi" w:hAnsiTheme="minorHAnsi" w:cstheme="minorHAnsi"/>
        </w:rPr>
        <w:t xml:space="preserve">of </w:t>
      </w:r>
      <w:r w:rsidR="00210145" w:rsidRPr="0003060E">
        <w:rPr>
          <w:rFonts w:asciiTheme="minorHAnsi" w:hAnsiTheme="minorHAnsi" w:cstheme="minorHAnsi"/>
        </w:rPr>
        <w:t xml:space="preserve">major </w:t>
      </w:r>
      <w:r w:rsidR="007D332B" w:rsidRPr="0003060E">
        <w:rPr>
          <w:rFonts w:asciiTheme="minorHAnsi" w:hAnsiTheme="minorHAnsi" w:cstheme="minorHAnsi"/>
        </w:rPr>
        <w:t>IA</w:t>
      </w:r>
      <w:r w:rsidR="00BE5554" w:rsidRPr="0003060E">
        <w:rPr>
          <w:rFonts w:asciiTheme="minorHAnsi" w:hAnsiTheme="minorHAnsi" w:cstheme="minorHAnsi"/>
        </w:rPr>
        <w:t>-focused institutions</w:t>
      </w:r>
      <w:r w:rsidR="007D332B" w:rsidRPr="0003060E">
        <w:rPr>
          <w:rFonts w:asciiTheme="minorHAnsi" w:hAnsiTheme="minorHAnsi" w:cstheme="minorHAnsi"/>
        </w:rPr>
        <w:t xml:space="preserve"> have tried to </w:t>
      </w:r>
      <w:r w:rsidR="00BE5554" w:rsidRPr="0003060E">
        <w:rPr>
          <w:rFonts w:asciiTheme="minorHAnsi" w:hAnsiTheme="minorHAnsi" w:cstheme="minorHAnsi"/>
        </w:rPr>
        <w:t>limit</w:t>
      </w:r>
      <w:r w:rsidR="007D332B" w:rsidRPr="0003060E">
        <w:rPr>
          <w:rFonts w:asciiTheme="minorHAnsi" w:hAnsiTheme="minorHAnsi" w:cstheme="minorHAnsi"/>
        </w:rPr>
        <w:t xml:space="preserve"> costs claimed for lawyer fees. </w:t>
      </w:r>
      <w:r w:rsidR="004E3061" w:rsidRPr="0003060E">
        <w:rPr>
          <w:rFonts w:asciiTheme="minorHAnsi" w:hAnsiTheme="minorHAnsi" w:cstheme="minorHAnsi"/>
        </w:rPr>
        <w:t>Typically, Rules do allow tribunals to limit costs to “reasonable” amounts, but arbitrators – perhaps with an eye to reappointments – seem much more reluctant to significantly dock lawyer fees awarded compared to judges with similar powers.</w:t>
      </w:r>
    </w:p>
    <w:p w14:paraId="35811DF2" w14:textId="59646424" w:rsidR="00BE5554" w:rsidRPr="0003060E" w:rsidRDefault="007D332B" w:rsidP="00E76D41">
      <w:pPr>
        <w:spacing w:before="120"/>
        <w:jc w:val="both"/>
        <w:rPr>
          <w:rFonts w:asciiTheme="minorHAnsi" w:hAnsiTheme="minorHAnsi" w:cstheme="minorHAnsi"/>
        </w:rPr>
      </w:pPr>
      <w:r w:rsidRPr="0003060E">
        <w:rPr>
          <w:rFonts w:asciiTheme="minorHAnsi" w:hAnsiTheme="minorHAnsi" w:cstheme="minorHAnsi"/>
        </w:rPr>
        <w:t xml:space="preserve">The 2014 Arbitration Rules of </w:t>
      </w:r>
      <w:r w:rsidR="00BE5554" w:rsidRPr="0003060E">
        <w:rPr>
          <w:rFonts w:asciiTheme="minorHAnsi" w:hAnsiTheme="minorHAnsi" w:cstheme="minorHAnsi"/>
        </w:rPr>
        <w:t xml:space="preserve">IAMA </w:t>
      </w:r>
      <w:r w:rsidR="00210145" w:rsidRPr="0003060E">
        <w:rPr>
          <w:rFonts w:asciiTheme="minorHAnsi" w:hAnsiTheme="minorHAnsi" w:cstheme="minorHAnsi"/>
        </w:rPr>
        <w:t xml:space="preserve">did </w:t>
      </w:r>
      <w:r w:rsidR="004E3061" w:rsidRPr="0003060E">
        <w:rPr>
          <w:rFonts w:asciiTheme="minorHAnsi" w:hAnsiTheme="minorHAnsi" w:cstheme="minorHAnsi"/>
        </w:rPr>
        <w:t>innovate by adding an absolute cap on legal fees</w:t>
      </w:r>
      <w:r w:rsidR="00BE5554" w:rsidRPr="0003060E">
        <w:rPr>
          <w:rFonts w:asciiTheme="minorHAnsi" w:hAnsiTheme="minorHAnsi" w:cstheme="minorHAnsi"/>
        </w:rPr>
        <w:t xml:space="preserve"> based on the amount in dispute (along with a cap based on the amount for tribunal fees, determined otherwise on an hourly basis under Article 41</w:t>
      </w:r>
      <w:r w:rsidR="004E3061" w:rsidRPr="0003060E">
        <w:rPr>
          <w:rFonts w:asciiTheme="minorHAnsi" w:hAnsiTheme="minorHAnsi" w:cstheme="minorHAnsi"/>
        </w:rPr>
        <w:t>). They</w:t>
      </w:r>
      <w:r w:rsidR="00BE5554" w:rsidRPr="0003060E">
        <w:rPr>
          <w:rFonts w:asciiTheme="minorHAnsi" w:hAnsiTheme="minorHAnsi" w:cstheme="minorHAnsi"/>
        </w:rPr>
        <w:t xml:space="preserve"> defin</w:t>
      </w:r>
      <w:r w:rsidR="004E3061" w:rsidRPr="0003060E">
        <w:rPr>
          <w:rFonts w:asciiTheme="minorHAnsi" w:hAnsiTheme="minorHAnsi" w:cstheme="minorHAnsi"/>
        </w:rPr>
        <w:t>ed</w:t>
      </w:r>
      <w:r w:rsidR="00BE5554" w:rsidRPr="0003060E">
        <w:rPr>
          <w:rFonts w:asciiTheme="minorHAnsi" w:hAnsiTheme="minorHAnsi" w:cstheme="minorHAnsi"/>
        </w:rPr>
        <w:t xml:space="preserve"> the costs of the arbitration in Article 40(e) to include:</w:t>
      </w:r>
      <w:r w:rsidR="00BE5554" w:rsidRPr="0003060E">
        <w:rPr>
          <w:rStyle w:val="FootnoteReference"/>
          <w:rFonts w:asciiTheme="minorHAnsi" w:hAnsiTheme="minorHAnsi" w:cstheme="minorHAnsi"/>
        </w:rPr>
        <w:footnoteReference w:id="55"/>
      </w:r>
    </w:p>
    <w:p w14:paraId="22B0DE86" w14:textId="51030A68" w:rsidR="00D2518D" w:rsidRPr="0003060E" w:rsidRDefault="00BE5554" w:rsidP="00E76D41">
      <w:pPr>
        <w:autoSpaceDE w:val="0"/>
        <w:autoSpaceDN w:val="0"/>
        <w:adjustRightInd w:val="0"/>
        <w:spacing w:before="120"/>
        <w:ind w:left="720"/>
        <w:jc w:val="both"/>
        <w:rPr>
          <w:rFonts w:asciiTheme="minorHAnsi" w:hAnsiTheme="minorHAnsi" w:cstheme="minorHAnsi"/>
        </w:rPr>
      </w:pPr>
      <w:r w:rsidRPr="0003060E">
        <w:rPr>
          <w:rFonts w:asciiTheme="minorHAnsi" w:hAnsiTheme="minorHAnsi" w:cstheme="minorHAnsi"/>
        </w:rPr>
        <w:t>“The legal costs directly incurred by the successful party if such costs were claimed during</w:t>
      </w:r>
      <w:r w:rsidR="00D2518D" w:rsidRPr="0003060E">
        <w:rPr>
          <w:rFonts w:asciiTheme="minorHAnsi" w:hAnsiTheme="minorHAnsi" w:cstheme="minorHAnsi"/>
        </w:rPr>
        <w:t xml:space="preserve"> </w:t>
      </w:r>
      <w:r w:rsidRPr="0003060E">
        <w:rPr>
          <w:rFonts w:asciiTheme="minorHAnsi" w:hAnsiTheme="minorHAnsi" w:cstheme="minorHAnsi"/>
        </w:rPr>
        <w:t>the arbitral proceedings, and only to the extent that the arbitral tribunal determines that</w:t>
      </w:r>
      <w:r w:rsidR="00D2518D" w:rsidRPr="0003060E">
        <w:rPr>
          <w:rFonts w:asciiTheme="minorHAnsi" w:hAnsiTheme="minorHAnsi" w:cstheme="minorHAnsi"/>
        </w:rPr>
        <w:t xml:space="preserve"> </w:t>
      </w:r>
      <w:r w:rsidRPr="0003060E">
        <w:rPr>
          <w:rFonts w:asciiTheme="minorHAnsi" w:hAnsiTheme="minorHAnsi" w:cstheme="minorHAnsi"/>
        </w:rPr>
        <w:t xml:space="preserve">the amount of such costs are reasonable </w:t>
      </w:r>
      <w:r w:rsidRPr="0003060E">
        <w:rPr>
          <w:rFonts w:asciiTheme="minorHAnsi" w:hAnsiTheme="minorHAnsi" w:cstheme="minorHAnsi"/>
          <w:i/>
          <w:iCs/>
        </w:rPr>
        <w:t>and only to the cap set out in Schedule 1</w:t>
      </w:r>
      <w:r w:rsidRPr="0003060E">
        <w:rPr>
          <w:rFonts w:asciiTheme="minorHAnsi" w:hAnsiTheme="minorHAnsi" w:cstheme="minorHAnsi"/>
        </w:rPr>
        <w:t xml:space="preserve"> unless</w:t>
      </w:r>
      <w:r w:rsidR="00D2518D" w:rsidRPr="0003060E">
        <w:rPr>
          <w:rFonts w:asciiTheme="minorHAnsi" w:hAnsiTheme="minorHAnsi" w:cstheme="minorHAnsi"/>
        </w:rPr>
        <w:t xml:space="preserve"> </w:t>
      </w:r>
      <w:r w:rsidRPr="0003060E">
        <w:rPr>
          <w:rFonts w:asciiTheme="minorHAnsi" w:hAnsiTheme="minorHAnsi" w:cstheme="minorHAnsi"/>
        </w:rPr>
        <w:t>otherwise agreed in writing or directed by the arbitral tribunal”.</w:t>
      </w:r>
    </w:p>
    <w:p w14:paraId="2DAB0512" w14:textId="6E50921C" w:rsidR="00DE092A" w:rsidRPr="0003060E" w:rsidRDefault="00BE5554" w:rsidP="00E76D41">
      <w:pPr>
        <w:spacing w:before="120"/>
        <w:jc w:val="both"/>
        <w:rPr>
          <w:rFonts w:asciiTheme="minorHAnsi" w:hAnsiTheme="minorHAnsi" w:cstheme="minorHAnsi"/>
        </w:rPr>
      </w:pPr>
      <w:r w:rsidRPr="0003060E">
        <w:rPr>
          <w:rFonts w:asciiTheme="minorHAnsi" w:hAnsiTheme="minorHAnsi" w:cstheme="minorHAnsi"/>
        </w:rPr>
        <w:t xml:space="preserve">This innovative cap on (anyway only “reasonable”) lawyers’ fees claimable as costs, by the winning party in principle under Article 42(1), </w:t>
      </w:r>
      <w:r w:rsidR="00210145" w:rsidRPr="0003060E">
        <w:rPr>
          <w:rFonts w:asciiTheme="minorHAnsi" w:hAnsiTheme="minorHAnsi" w:cstheme="minorHAnsi"/>
        </w:rPr>
        <w:t xml:space="preserve">was </w:t>
      </w:r>
      <w:r w:rsidRPr="0003060E">
        <w:rPr>
          <w:rFonts w:asciiTheme="minorHAnsi" w:hAnsiTheme="minorHAnsi" w:cstheme="minorHAnsi"/>
        </w:rPr>
        <w:t>carried over in Article 40(e) and Schedule 1 of the 201</w:t>
      </w:r>
      <w:r w:rsidR="00A73304" w:rsidRPr="0003060E">
        <w:rPr>
          <w:rFonts w:asciiTheme="minorHAnsi" w:hAnsiTheme="minorHAnsi" w:cstheme="minorHAnsi"/>
        </w:rPr>
        <w:t>6</w:t>
      </w:r>
      <w:r w:rsidRPr="0003060E">
        <w:rPr>
          <w:rFonts w:asciiTheme="minorHAnsi" w:hAnsiTheme="minorHAnsi" w:cstheme="minorHAnsi"/>
        </w:rPr>
        <w:t xml:space="preserve"> Arbitration rules of the</w:t>
      </w:r>
      <w:r w:rsidR="007D332B" w:rsidRPr="0003060E">
        <w:rPr>
          <w:rFonts w:asciiTheme="minorHAnsi" w:hAnsiTheme="minorHAnsi" w:cstheme="minorHAnsi"/>
        </w:rPr>
        <w:t xml:space="preserve"> Resolution Institute (which subsumed IAMA)</w:t>
      </w:r>
      <w:r w:rsidRPr="0003060E">
        <w:rPr>
          <w:rFonts w:asciiTheme="minorHAnsi" w:hAnsiTheme="minorHAnsi" w:cstheme="minorHAnsi"/>
        </w:rPr>
        <w:t xml:space="preserve">. However, </w:t>
      </w:r>
      <w:r w:rsidR="00A73304" w:rsidRPr="0003060E">
        <w:rPr>
          <w:rFonts w:asciiTheme="minorHAnsi" w:hAnsiTheme="minorHAnsi" w:cstheme="minorHAnsi"/>
        </w:rPr>
        <w:t xml:space="preserve">Resolution Institute Arbitration Rules 2020 instead adopted the UNCITRAL Rules in effect </w:t>
      </w:r>
      <w:r w:rsidR="00A73304" w:rsidRPr="0003060E">
        <w:rPr>
          <w:rFonts w:asciiTheme="minorHAnsi" w:hAnsiTheme="minorHAnsi" w:cstheme="minorHAnsi"/>
        </w:rPr>
        <w:lastRenderedPageBreak/>
        <w:t xml:space="preserve">from 2019, with specified amendments that did not </w:t>
      </w:r>
      <w:r w:rsidR="0076687D" w:rsidRPr="0003060E">
        <w:rPr>
          <w:rFonts w:asciiTheme="minorHAnsi" w:hAnsiTheme="minorHAnsi" w:cstheme="minorHAnsi"/>
        </w:rPr>
        <w:t>transpose</w:t>
      </w:r>
      <w:r w:rsidR="00A73304" w:rsidRPr="0003060E">
        <w:rPr>
          <w:rFonts w:asciiTheme="minorHAnsi" w:hAnsiTheme="minorHAnsi" w:cstheme="minorHAnsi"/>
        </w:rPr>
        <w:t xml:space="preserve"> the cap on lawyer fees </w:t>
      </w:r>
      <w:r w:rsidR="0076687D" w:rsidRPr="0003060E">
        <w:rPr>
          <w:rFonts w:asciiTheme="minorHAnsi" w:hAnsiTheme="minorHAnsi" w:cstheme="minorHAnsi"/>
        </w:rPr>
        <w:t xml:space="preserve">based on the amount in dispute </w:t>
      </w:r>
      <w:r w:rsidR="00A73304" w:rsidRPr="0003060E">
        <w:rPr>
          <w:rFonts w:asciiTheme="minorHAnsi" w:hAnsiTheme="minorHAnsi" w:cstheme="minorHAnsi"/>
        </w:rPr>
        <w:t xml:space="preserve">(or indeed </w:t>
      </w:r>
      <w:r w:rsidR="0076687D" w:rsidRPr="0003060E">
        <w:rPr>
          <w:rFonts w:asciiTheme="minorHAnsi" w:hAnsiTheme="minorHAnsi" w:cstheme="minorHAnsi"/>
        </w:rPr>
        <w:t xml:space="preserve">the cap </w:t>
      </w:r>
      <w:r w:rsidR="00A73304" w:rsidRPr="0003060E">
        <w:rPr>
          <w:rFonts w:asciiTheme="minorHAnsi" w:hAnsiTheme="minorHAnsi" w:cstheme="minorHAnsi"/>
        </w:rPr>
        <w:t>on arbitrator fees, though maintaining a default hourly rate principle). The variation regarding Rule 40 merely allows the arbitrator a general discretion to direct limits on any arbitration costs (emphasis added):</w:t>
      </w:r>
    </w:p>
    <w:p w14:paraId="0301E831" w14:textId="71C8E3DF" w:rsidR="00A73304" w:rsidRPr="0003060E" w:rsidRDefault="00A73304" w:rsidP="00E76D41">
      <w:pPr>
        <w:spacing w:before="120"/>
        <w:ind w:left="720"/>
        <w:jc w:val="both"/>
        <w:rPr>
          <w:rFonts w:asciiTheme="minorHAnsi" w:hAnsiTheme="minorHAnsi" w:cstheme="minorHAnsi"/>
        </w:rPr>
      </w:pPr>
      <w:r w:rsidRPr="0003060E">
        <w:rPr>
          <w:rFonts w:asciiTheme="minorHAnsi" w:hAnsiTheme="minorHAnsi" w:cstheme="minorHAnsi"/>
        </w:rPr>
        <w:t xml:space="preserve">“The amount of the costs of an arbitration (including the fees and expenses of the arbitrator) are to be in the discretion of the arbitrator. </w:t>
      </w:r>
      <w:r w:rsidRPr="0003060E">
        <w:rPr>
          <w:rFonts w:asciiTheme="minorHAnsi" w:hAnsiTheme="minorHAnsi" w:cstheme="minorHAnsi"/>
          <w:i/>
          <w:iCs/>
        </w:rPr>
        <w:t>The arbitrator may direct that the costs of an arbitration or any part of the arbitration, are to be limited to a specified amount</w:t>
      </w:r>
      <w:r w:rsidRPr="0003060E">
        <w:rPr>
          <w:rFonts w:asciiTheme="minorHAnsi" w:hAnsiTheme="minorHAnsi" w:cstheme="minorHAnsi"/>
        </w:rPr>
        <w:t>.”</w:t>
      </w:r>
    </w:p>
    <w:p w14:paraId="2739D2E4" w14:textId="7CB30601" w:rsidR="00210145" w:rsidRPr="0003060E" w:rsidRDefault="00A73304" w:rsidP="00E76D41">
      <w:pPr>
        <w:pStyle w:val="Default"/>
        <w:spacing w:before="120"/>
        <w:jc w:val="both"/>
        <w:rPr>
          <w:rFonts w:asciiTheme="minorHAnsi" w:hAnsiTheme="minorHAnsi" w:cstheme="minorHAnsi"/>
          <w:sz w:val="22"/>
          <w:szCs w:val="22"/>
        </w:rPr>
      </w:pPr>
      <w:r w:rsidRPr="0003060E">
        <w:rPr>
          <w:rFonts w:asciiTheme="minorHAnsi" w:hAnsiTheme="minorHAnsi" w:cstheme="minorHAnsi"/>
          <w:sz w:val="22"/>
          <w:szCs w:val="22"/>
        </w:rPr>
        <w:t xml:space="preserve">These </w:t>
      </w:r>
      <w:r w:rsidR="00C85C98" w:rsidRPr="0003060E">
        <w:rPr>
          <w:rFonts w:asciiTheme="minorHAnsi" w:hAnsiTheme="minorHAnsi" w:cstheme="minorHAnsi"/>
          <w:sz w:val="22"/>
          <w:szCs w:val="22"/>
        </w:rPr>
        <w:t xml:space="preserve">provisions are replicated in the </w:t>
      </w:r>
      <w:r w:rsidR="0076687D" w:rsidRPr="0003060E">
        <w:rPr>
          <w:rFonts w:asciiTheme="minorHAnsi" w:hAnsiTheme="minorHAnsi" w:cstheme="minorHAnsi"/>
          <w:sz w:val="22"/>
          <w:szCs w:val="22"/>
        </w:rPr>
        <w:t xml:space="preserve">2023 </w:t>
      </w:r>
      <w:r w:rsidR="00C85C98" w:rsidRPr="0003060E">
        <w:rPr>
          <w:rFonts w:asciiTheme="minorHAnsi" w:hAnsiTheme="minorHAnsi" w:cstheme="minorHAnsi"/>
          <w:sz w:val="22"/>
          <w:szCs w:val="22"/>
        </w:rPr>
        <w:t>Arbitration Rules, and an accompanying “Explanatory Note” states that the “major changes introduced in 2020 and carried through into the Resolution Institute 2023 Rules is that they … removes [sic] from the Rules a limit on recoverable legal fees by the successful party. Of course, the parties remain free to agree that in their contract if they wish”.</w:t>
      </w:r>
      <w:r w:rsidR="00C85C98" w:rsidRPr="0003060E">
        <w:rPr>
          <w:rStyle w:val="FootnoteReference"/>
          <w:rFonts w:asciiTheme="minorHAnsi" w:hAnsiTheme="minorHAnsi" w:cstheme="minorHAnsi"/>
          <w:sz w:val="22"/>
          <w:szCs w:val="22"/>
        </w:rPr>
        <w:footnoteReference w:id="56"/>
      </w:r>
      <w:r w:rsidR="00C85C98" w:rsidRPr="0003060E">
        <w:rPr>
          <w:rFonts w:asciiTheme="minorHAnsi" w:hAnsiTheme="minorHAnsi" w:cstheme="minorHAnsi"/>
          <w:sz w:val="22"/>
          <w:szCs w:val="22"/>
        </w:rPr>
        <w:t xml:space="preserve"> No further explanation is provided for this change, but we may infer that the unusual approach of capping lawyer fees (applicable in arbitrations commenced from 2014 until 2019) was not well received – perhaps especially by legal advisors. It will be interesting to see if Resolution Institute arbitrations from 2020 nonetheless involve parties agreeing separately to cap lawyers’ fees claimable as costs, or tribunals directing this at their discretion</w:t>
      </w:r>
      <w:r w:rsidR="003452C2" w:rsidRPr="0003060E">
        <w:rPr>
          <w:rFonts w:asciiTheme="minorHAnsi" w:hAnsiTheme="minorHAnsi" w:cstheme="minorHAnsi"/>
          <w:sz w:val="22"/>
          <w:szCs w:val="22"/>
        </w:rPr>
        <w:t>. However,</w:t>
      </w:r>
      <w:r w:rsidR="00C85C98" w:rsidRPr="0003060E">
        <w:rPr>
          <w:rFonts w:asciiTheme="minorHAnsi" w:hAnsiTheme="minorHAnsi" w:cstheme="minorHAnsi"/>
          <w:sz w:val="22"/>
          <w:szCs w:val="22"/>
        </w:rPr>
        <w:t xml:space="preserve"> the former seems particularly unlikely</w:t>
      </w:r>
      <w:r w:rsidR="00C57D5E" w:rsidRPr="0003060E">
        <w:rPr>
          <w:rFonts w:asciiTheme="minorHAnsi" w:hAnsiTheme="minorHAnsi" w:cstheme="minorHAnsi"/>
          <w:sz w:val="22"/>
          <w:szCs w:val="22"/>
        </w:rPr>
        <w:t xml:space="preserve"> as it goes against the financial interests of the</w:t>
      </w:r>
      <w:r w:rsidR="0076687D" w:rsidRPr="0003060E">
        <w:rPr>
          <w:rFonts w:asciiTheme="minorHAnsi" w:hAnsiTheme="minorHAnsi" w:cstheme="minorHAnsi"/>
          <w:sz w:val="22"/>
          <w:szCs w:val="22"/>
        </w:rPr>
        <w:t xml:space="preserve"> parties’ l</w:t>
      </w:r>
      <w:r w:rsidR="00C57D5E" w:rsidRPr="0003060E">
        <w:rPr>
          <w:rFonts w:asciiTheme="minorHAnsi" w:hAnsiTheme="minorHAnsi" w:cstheme="minorHAnsi"/>
          <w:sz w:val="22"/>
          <w:szCs w:val="22"/>
        </w:rPr>
        <w:t>egal advisors.</w:t>
      </w:r>
      <w:r w:rsidR="003452C2" w:rsidRPr="0003060E">
        <w:rPr>
          <w:rFonts w:asciiTheme="minorHAnsi" w:hAnsiTheme="minorHAnsi" w:cstheme="minorHAnsi"/>
          <w:sz w:val="22"/>
          <w:szCs w:val="22"/>
        </w:rPr>
        <w:t xml:space="preserve"> </w:t>
      </w:r>
    </w:p>
    <w:p w14:paraId="0AB16000" w14:textId="0C82B549" w:rsidR="0020164B" w:rsidRPr="0003060E" w:rsidRDefault="0076687D" w:rsidP="00E76D41">
      <w:pPr>
        <w:pStyle w:val="Default"/>
        <w:spacing w:before="120"/>
        <w:jc w:val="both"/>
        <w:rPr>
          <w:rFonts w:asciiTheme="minorHAnsi" w:hAnsiTheme="minorHAnsi" w:cstheme="minorHAnsi"/>
          <w:sz w:val="22"/>
          <w:szCs w:val="22"/>
        </w:rPr>
      </w:pPr>
      <w:r w:rsidRPr="0003060E">
        <w:rPr>
          <w:rFonts w:asciiTheme="minorHAnsi" w:hAnsiTheme="minorHAnsi" w:cstheme="minorHAnsi"/>
          <w:sz w:val="22"/>
          <w:szCs w:val="22"/>
        </w:rPr>
        <w:t>As a fourth factor arguably contributing to costs and delays in IA</w:t>
      </w:r>
      <w:r w:rsidR="00D635DC" w:rsidRPr="0003060E">
        <w:rPr>
          <w:rFonts w:asciiTheme="minorHAnsi" w:hAnsiTheme="minorHAnsi" w:cstheme="minorHAnsi"/>
          <w:sz w:val="22"/>
          <w:szCs w:val="22"/>
        </w:rPr>
        <w:t>, there has been a gradual spread of confidentiality obligations on parties, not just arbitrators and institutions as in the ICC, related to arbitration proceedings.</w:t>
      </w:r>
      <w:r w:rsidRPr="0003060E">
        <w:rPr>
          <w:rFonts w:asciiTheme="minorHAnsi" w:hAnsiTheme="minorHAnsi" w:cstheme="minorHAnsi"/>
          <w:sz w:val="22"/>
          <w:szCs w:val="22"/>
        </w:rPr>
        <w:t xml:space="preserve"> This reflects a considerable and persistent preference of commercial users, especially in Asia.</w:t>
      </w:r>
      <w:r w:rsidR="00D635DC" w:rsidRPr="0003060E">
        <w:rPr>
          <w:rStyle w:val="FootnoteReference"/>
          <w:rFonts w:asciiTheme="minorHAnsi" w:hAnsiTheme="minorHAnsi" w:cstheme="minorHAnsi"/>
          <w:sz w:val="22"/>
          <w:szCs w:val="22"/>
        </w:rPr>
        <w:footnoteReference w:id="57"/>
      </w:r>
      <w:r w:rsidR="00D635DC" w:rsidRPr="0003060E">
        <w:rPr>
          <w:rFonts w:asciiTheme="minorHAnsi" w:hAnsiTheme="minorHAnsi" w:cstheme="minorHAnsi"/>
          <w:sz w:val="22"/>
          <w:szCs w:val="22"/>
        </w:rPr>
        <w:t xml:space="preserve"> In some states, as in Singapore and especially Hong Kong, confidentiality extends even to arbitration-related court proceedings. A growing number of states have added confidentiality to the ML template when enacting arbitration </w:t>
      </w:r>
      <w:proofErr w:type="gramStart"/>
      <w:r w:rsidR="00D635DC" w:rsidRPr="0003060E">
        <w:rPr>
          <w:rFonts w:asciiTheme="minorHAnsi" w:hAnsiTheme="minorHAnsi" w:cstheme="minorHAnsi"/>
          <w:sz w:val="22"/>
          <w:szCs w:val="22"/>
        </w:rPr>
        <w:t>legislation, or</w:t>
      </w:r>
      <w:proofErr w:type="gramEnd"/>
      <w:r w:rsidR="00D635DC" w:rsidRPr="0003060E">
        <w:rPr>
          <w:rFonts w:asciiTheme="minorHAnsi" w:hAnsiTheme="minorHAnsi" w:cstheme="minorHAnsi"/>
          <w:sz w:val="22"/>
          <w:szCs w:val="22"/>
        </w:rPr>
        <w:t xml:space="preserve"> developed generally similar case law principles (as England and Singapore). Even in those that do not (as in Japan), the major arbitration institutions have added and sometimes over time expanded confidentiality obligations on parties. Indeed, from their first edition in 2005, ACICA Rules extended confidentiality by requiring parties calling witnesses to ensure th</w:t>
      </w:r>
      <w:r w:rsidRPr="0003060E">
        <w:rPr>
          <w:rFonts w:asciiTheme="minorHAnsi" w:hAnsiTheme="minorHAnsi" w:cstheme="minorHAnsi"/>
          <w:sz w:val="22"/>
          <w:szCs w:val="22"/>
        </w:rPr>
        <w:t>at the latter</w:t>
      </w:r>
      <w:r w:rsidR="00D635DC" w:rsidRPr="0003060E">
        <w:rPr>
          <w:rFonts w:asciiTheme="minorHAnsi" w:hAnsiTheme="minorHAnsi" w:cstheme="minorHAnsi"/>
          <w:sz w:val="22"/>
          <w:szCs w:val="22"/>
        </w:rPr>
        <w:t xml:space="preserve"> too maintain confidentiality.</w:t>
      </w:r>
      <w:r w:rsidR="00D635DC" w:rsidRPr="0003060E">
        <w:rPr>
          <w:rStyle w:val="FootnoteReference"/>
          <w:rFonts w:asciiTheme="minorHAnsi" w:hAnsiTheme="minorHAnsi" w:cstheme="minorHAnsi"/>
          <w:sz w:val="22"/>
          <w:szCs w:val="22"/>
        </w:rPr>
        <w:footnoteReference w:id="58"/>
      </w:r>
    </w:p>
    <w:p w14:paraId="42555F93" w14:textId="558C9025" w:rsidR="00536E53" w:rsidRPr="0003060E" w:rsidRDefault="0020164B" w:rsidP="00E76D41">
      <w:pPr>
        <w:pStyle w:val="Default"/>
        <w:spacing w:before="120"/>
        <w:jc w:val="both"/>
        <w:rPr>
          <w:rFonts w:asciiTheme="minorHAnsi" w:hAnsiTheme="minorHAnsi" w:cstheme="minorHAnsi"/>
          <w:sz w:val="22"/>
          <w:szCs w:val="22"/>
        </w:rPr>
      </w:pPr>
      <w:r w:rsidRPr="0003060E">
        <w:rPr>
          <w:rFonts w:asciiTheme="minorHAnsi" w:hAnsiTheme="minorHAnsi" w:cstheme="minorHAnsi"/>
          <w:sz w:val="22"/>
          <w:szCs w:val="22"/>
        </w:rPr>
        <w:t>Changes have been made to loosen confidentiality particularly around ISA, validly recognising the greater public interests in that hybrid form of arbitration. But it remains quite valued and prevalent in ICA, despite variations in the exceptions to confidentiality</w:t>
      </w:r>
      <w:r w:rsidR="005C1D56" w:rsidRPr="0003060E">
        <w:rPr>
          <w:rFonts w:asciiTheme="minorHAnsi" w:hAnsiTheme="minorHAnsi" w:cstheme="minorHAnsi"/>
          <w:sz w:val="22"/>
          <w:szCs w:val="22"/>
        </w:rPr>
        <w:t xml:space="preserve"> and the concept </w:t>
      </w:r>
      <w:r w:rsidRPr="0003060E">
        <w:rPr>
          <w:rFonts w:asciiTheme="minorHAnsi" w:hAnsiTheme="minorHAnsi" w:cstheme="minorHAnsi"/>
          <w:sz w:val="22"/>
          <w:szCs w:val="22"/>
        </w:rPr>
        <w:t>being a somewhat double-edged sword.</w:t>
      </w:r>
      <w:r w:rsidRPr="0003060E">
        <w:rPr>
          <w:rStyle w:val="FootnoteReference"/>
          <w:rFonts w:asciiTheme="minorHAnsi" w:hAnsiTheme="minorHAnsi" w:cstheme="minorHAnsi"/>
          <w:sz w:val="22"/>
          <w:szCs w:val="22"/>
        </w:rPr>
        <w:footnoteReference w:id="59"/>
      </w:r>
      <w:r w:rsidRPr="0003060E">
        <w:rPr>
          <w:rFonts w:asciiTheme="minorHAnsi" w:hAnsiTheme="minorHAnsi" w:cstheme="minorHAnsi"/>
          <w:sz w:val="22"/>
          <w:szCs w:val="22"/>
        </w:rPr>
        <w:t xml:space="preserve"> On the one hand, confidentiality (combined with privacy of proceedings) means that arbitrators can direct their awards and procedures to the parties themselves, not the wider public as with the courts. This should allow them to render more succinct decisions and be more robust in </w:t>
      </w:r>
      <w:r w:rsidRPr="0003060E">
        <w:rPr>
          <w:rFonts w:asciiTheme="minorHAnsi" w:hAnsiTheme="minorHAnsi" w:cstheme="minorHAnsi"/>
          <w:sz w:val="22"/>
          <w:szCs w:val="22"/>
        </w:rPr>
        <w:lastRenderedPageBreak/>
        <w:t>procedural rulings, benefiting also from case law trends that often favour this approach.</w:t>
      </w:r>
      <w:r w:rsidR="005C1D56" w:rsidRPr="0003060E">
        <w:rPr>
          <w:rStyle w:val="FootnoteReference"/>
          <w:rFonts w:asciiTheme="minorHAnsi" w:hAnsiTheme="minorHAnsi" w:cstheme="minorHAnsi"/>
          <w:sz w:val="22"/>
          <w:szCs w:val="22"/>
        </w:rPr>
        <w:footnoteReference w:id="60"/>
      </w:r>
      <w:r w:rsidRPr="0003060E">
        <w:rPr>
          <w:rFonts w:asciiTheme="minorHAnsi" w:hAnsiTheme="minorHAnsi" w:cstheme="minorHAnsi"/>
          <w:sz w:val="22"/>
          <w:szCs w:val="22"/>
        </w:rPr>
        <w:t xml:space="preserve"> On the other hand, tribunals and awards are still quite often challenged</w:t>
      </w:r>
      <w:r w:rsidR="00536E53" w:rsidRPr="0003060E">
        <w:rPr>
          <w:rFonts w:asciiTheme="minorHAnsi" w:hAnsiTheme="minorHAnsi" w:cstheme="minorHAnsi"/>
          <w:sz w:val="22"/>
          <w:szCs w:val="22"/>
        </w:rPr>
        <w:t xml:space="preserve"> and can become prone to “due process paranoia”</w:t>
      </w:r>
      <w:r w:rsidRPr="0003060E">
        <w:rPr>
          <w:rFonts w:asciiTheme="minorHAnsi" w:hAnsiTheme="minorHAnsi" w:cstheme="minorHAnsi"/>
          <w:sz w:val="22"/>
          <w:szCs w:val="22"/>
        </w:rPr>
        <w:t>,</w:t>
      </w:r>
      <w:r w:rsidR="005C1D56" w:rsidRPr="0003060E">
        <w:rPr>
          <w:rStyle w:val="FootnoteReference"/>
          <w:rFonts w:asciiTheme="minorHAnsi" w:hAnsiTheme="minorHAnsi" w:cstheme="minorHAnsi"/>
          <w:sz w:val="22"/>
          <w:szCs w:val="22"/>
        </w:rPr>
        <w:footnoteReference w:id="61"/>
      </w:r>
      <w:r w:rsidRPr="0003060E">
        <w:rPr>
          <w:rFonts w:asciiTheme="minorHAnsi" w:hAnsiTheme="minorHAnsi" w:cstheme="minorHAnsi"/>
          <w:sz w:val="22"/>
          <w:szCs w:val="22"/>
        </w:rPr>
        <w:t xml:space="preserve"> and confidentiality </w:t>
      </w:r>
      <w:r w:rsidR="00536E53" w:rsidRPr="0003060E">
        <w:rPr>
          <w:rFonts w:asciiTheme="minorHAnsi" w:hAnsiTheme="minorHAnsi" w:cstheme="minorHAnsi"/>
          <w:sz w:val="22"/>
          <w:szCs w:val="22"/>
        </w:rPr>
        <w:t>generally</w:t>
      </w:r>
      <w:r w:rsidRPr="0003060E">
        <w:rPr>
          <w:rFonts w:asciiTheme="minorHAnsi" w:hAnsiTheme="minorHAnsi" w:cstheme="minorHAnsi"/>
          <w:sz w:val="22"/>
          <w:szCs w:val="22"/>
        </w:rPr>
        <w:t xml:space="preserve"> has the downside of exacerbating</w:t>
      </w:r>
      <w:r w:rsidR="00536E53" w:rsidRPr="0003060E">
        <w:rPr>
          <w:rFonts w:asciiTheme="minorHAnsi" w:hAnsiTheme="minorHAnsi" w:cstheme="minorHAnsi"/>
          <w:sz w:val="22"/>
          <w:szCs w:val="22"/>
        </w:rPr>
        <w:t xml:space="preserve"> the</w:t>
      </w:r>
      <w:r w:rsidRPr="0003060E">
        <w:rPr>
          <w:rFonts w:asciiTheme="minorHAnsi" w:hAnsiTheme="minorHAnsi" w:cstheme="minorHAnsi"/>
          <w:sz w:val="22"/>
          <w:szCs w:val="22"/>
        </w:rPr>
        <w:t xml:space="preserve"> information asymmetry</w:t>
      </w:r>
      <w:r w:rsidR="00536E53" w:rsidRPr="0003060E">
        <w:rPr>
          <w:rFonts w:asciiTheme="minorHAnsi" w:hAnsiTheme="minorHAnsi" w:cstheme="minorHAnsi"/>
          <w:sz w:val="22"/>
          <w:szCs w:val="22"/>
        </w:rPr>
        <w:t xml:space="preserve"> t</w:t>
      </w:r>
      <w:r w:rsidRPr="0003060E">
        <w:rPr>
          <w:rFonts w:asciiTheme="minorHAnsi" w:hAnsiTheme="minorHAnsi" w:cstheme="minorHAnsi"/>
          <w:sz w:val="22"/>
          <w:szCs w:val="22"/>
        </w:rPr>
        <w:t>hat bedevils markets</w:t>
      </w:r>
      <w:r w:rsidR="0076687D" w:rsidRPr="0003060E">
        <w:rPr>
          <w:rFonts w:asciiTheme="minorHAnsi" w:hAnsiTheme="minorHAnsi" w:cstheme="minorHAnsi"/>
          <w:sz w:val="22"/>
          <w:szCs w:val="22"/>
        </w:rPr>
        <w:t xml:space="preserve"> especially for services</w:t>
      </w:r>
      <w:r w:rsidR="00536E53" w:rsidRPr="0003060E">
        <w:rPr>
          <w:rFonts w:asciiTheme="minorHAnsi" w:hAnsiTheme="minorHAnsi" w:cstheme="minorHAnsi"/>
          <w:sz w:val="22"/>
          <w:szCs w:val="22"/>
        </w:rPr>
        <w:t xml:space="preserve">. The IA sector has fewer mechanisms </w:t>
      </w:r>
      <w:r w:rsidRPr="0003060E">
        <w:rPr>
          <w:rFonts w:asciiTheme="minorHAnsi" w:hAnsiTheme="minorHAnsi" w:cstheme="minorHAnsi"/>
          <w:sz w:val="22"/>
          <w:szCs w:val="22"/>
        </w:rPr>
        <w:t xml:space="preserve">(like mandatory warranties of due care) that </w:t>
      </w:r>
      <w:r w:rsidR="0076687D" w:rsidRPr="0003060E">
        <w:rPr>
          <w:rFonts w:asciiTheme="minorHAnsi" w:hAnsiTheme="minorHAnsi" w:cstheme="minorHAnsi"/>
          <w:sz w:val="22"/>
          <w:szCs w:val="22"/>
        </w:rPr>
        <w:t>help offset pernicious</w:t>
      </w:r>
      <w:r w:rsidR="00536E53" w:rsidRPr="0003060E">
        <w:rPr>
          <w:rFonts w:asciiTheme="minorHAnsi" w:hAnsiTheme="minorHAnsi" w:cstheme="minorHAnsi"/>
          <w:sz w:val="22"/>
          <w:szCs w:val="22"/>
        </w:rPr>
        <w:t xml:space="preserve"> information asymmetry linked to confidentiality, </w:t>
      </w:r>
      <w:r w:rsidR="0076687D" w:rsidRPr="0003060E">
        <w:rPr>
          <w:rFonts w:asciiTheme="minorHAnsi" w:hAnsiTheme="minorHAnsi" w:cstheme="minorHAnsi"/>
          <w:sz w:val="22"/>
          <w:szCs w:val="22"/>
        </w:rPr>
        <w:t xml:space="preserve">thus </w:t>
      </w:r>
      <w:r w:rsidR="00536E53" w:rsidRPr="0003060E">
        <w:rPr>
          <w:rFonts w:asciiTheme="minorHAnsi" w:hAnsiTheme="minorHAnsi" w:cstheme="minorHAnsi"/>
          <w:sz w:val="22"/>
          <w:szCs w:val="22"/>
        </w:rPr>
        <w:t>making it hard for (especially newer or infrequent) users to assess whether IA service providers are giving the best value for money</w:t>
      </w:r>
      <w:r w:rsidRPr="0003060E">
        <w:rPr>
          <w:rFonts w:asciiTheme="minorHAnsi" w:hAnsiTheme="minorHAnsi" w:cstheme="minorHAnsi"/>
          <w:sz w:val="22"/>
          <w:szCs w:val="22"/>
        </w:rPr>
        <w:t>.</w:t>
      </w:r>
      <w:r w:rsidRPr="0003060E">
        <w:rPr>
          <w:rStyle w:val="FootnoteReference"/>
          <w:rFonts w:asciiTheme="minorHAnsi" w:hAnsiTheme="minorHAnsi" w:cstheme="minorHAnsi"/>
          <w:sz w:val="22"/>
          <w:szCs w:val="22"/>
        </w:rPr>
        <w:footnoteReference w:id="62"/>
      </w:r>
      <w:r w:rsidR="00536E53" w:rsidRPr="0003060E">
        <w:rPr>
          <w:rFonts w:asciiTheme="minorHAnsi" w:hAnsiTheme="minorHAnsi" w:cstheme="minorHAnsi"/>
          <w:sz w:val="22"/>
          <w:szCs w:val="22"/>
        </w:rPr>
        <w:t xml:space="preserve"> </w:t>
      </w:r>
    </w:p>
    <w:p w14:paraId="2CEECE37" w14:textId="7AFA467A" w:rsidR="00483B33" w:rsidRPr="0003060E" w:rsidRDefault="00536E53" w:rsidP="00E76D41">
      <w:pPr>
        <w:pStyle w:val="Default"/>
        <w:spacing w:before="120"/>
        <w:jc w:val="both"/>
        <w:rPr>
          <w:rFonts w:asciiTheme="minorHAnsi" w:hAnsiTheme="minorHAnsi" w:cstheme="minorHAnsi"/>
          <w:sz w:val="22"/>
          <w:szCs w:val="22"/>
        </w:rPr>
      </w:pPr>
      <w:r w:rsidRPr="0003060E">
        <w:rPr>
          <w:rFonts w:asciiTheme="minorHAnsi" w:hAnsiTheme="minorHAnsi" w:cstheme="minorHAnsi"/>
          <w:sz w:val="22"/>
          <w:szCs w:val="22"/>
        </w:rPr>
        <w:t>Admittedly, there ha</w:t>
      </w:r>
      <w:r w:rsidR="0076687D" w:rsidRPr="0003060E">
        <w:rPr>
          <w:rFonts w:asciiTheme="minorHAnsi" w:hAnsiTheme="minorHAnsi" w:cstheme="minorHAnsi"/>
          <w:sz w:val="22"/>
          <w:szCs w:val="22"/>
        </w:rPr>
        <w:t xml:space="preserve">ve been recent efforts </w:t>
      </w:r>
      <w:r w:rsidRPr="0003060E">
        <w:rPr>
          <w:rFonts w:asciiTheme="minorHAnsi" w:hAnsiTheme="minorHAnsi" w:cstheme="minorHAnsi"/>
          <w:sz w:val="22"/>
          <w:szCs w:val="22"/>
        </w:rPr>
        <w:t>to disclose more information about arbitrators</w:t>
      </w:r>
      <w:r w:rsidR="0076687D" w:rsidRPr="0003060E">
        <w:rPr>
          <w:rFonts w:asciiTheme="minorHAnsi" w:hAnsiTheme="minorHAnsi" w:cstheme="minorHAnsi"/>
          <w:sz w:val="22"/>
          <w:szCs w:val="22"/>
        </w:rPr>
        <w:t>. I</w:t>
      </w:r>
      <w:r w:rsidRPr="0003060E">
        <w:rPr>
          <w:rFonts w:asciiTheme="minorHAnsi" w:hAnsiTheme="minorHAnsi" w:cstheme="minorHAnsi"/>
          <w:sz w:val="22"/>
          <w:szCs w:val="22"/>
        </w:rPr>
        <w:t xml:space="preserve">nitiatives like Arbitrator Intelligence (collecting awards and other public information) </w:t>
      </w:r>
      <w:r w:rsidR="0076687D" w:rsidRPr="0003060E">
        <w:rPr>
          <w:rFonts w:asciiTheme="minorHAnsi" w:hAnsiTheme="minorHAnsi" w:cstheme="minorHAnsi"/>
          <w:sz w:val="22"/>
          <w:szCs w:val="22"/>
        </w:rPr>
        <w:t xml:space="preserve">are </w:t>
      </w:r>
      <w:r w:rsidR="00E425C1" w:rsidRPr="0003060E">
        <w:rPr>
          <w:rFonts w:asciiTheme="minorHAnsi" w:hAnsiTheme="minorHAnsi" w:cstheme="minorHAnsi"/>
          <w:sz w:val="22"/>
          <w:szCs w:val="22"/>
        </w:rPr>
        <w:t>now connected to a</w:t>
      </w:r>
      <w:r w:rsidRPr="0003060E">
        <w:rPr>
          <w:rFonts w:asciiTheme="minorHAnsi" w:hAnsiTheme="minorHAnsi" w:cstheme="minorHAnsi"/>
          <w:sz w:val="22"/>
          <w:szCs w:val="22"/>
        </w:rPr>
        <w:t xml:space="preserve"> database available through a major publisher of IA resources.</w:t>
      </w:r>
      <w:r w:rsidRPr="0003060E">
        <w:rPr>
          <w:rStyle w:val="FootnoteReference"/>
          <w:rFonts w:asciiTheme="minorHAnsi" w:hAnsiTheme="minorHAnsi" w:cstheme="minorHAnsi"/>
          <w:sz w:val="22"/>
          <w:szCs w:val="22"/>
        </w:rPr>
        <w:footnoteReference w:id="63"/>
      </w:r>
      <w:r w:rsidRPr="0003060E">
        <w:rPr>
          <w:rFonts w:asciiTheme="minorHAnsi" w:hAnsiTheme="minorHAnsi" w:cstheme="minorHAnsi"/>
          <w:sz w:val="22"/>
          <w:szCs w:val="22"/>
        </w:rPr>
        <w:t xml:space="preserve"> Users and advisors can also</w:t>
      </w:r>
      <w:r w:rsidR="0076687D" w:rsidRPr="0003060E">
        <w:rPr>
          <w:rFonts w:asciiTheme="minorHAnsi" w:hAnsiTheme="minorHAnsi" w:cstheme="minorHAnsi"/>
          <w:sz w:val="22"/>
          <w:szCs w:val="22"/>
        </w:rPr>
        <w:t xml:space="preserve"> access</w:t>
      </w:r>
      <w:r w:rsidRPr="0003060E">
        <w:rPr>
          <w:rFonts w:asciiTheme="minorHAnsi" w:hAnsiTheme="minorHAnsi" w:cstheme="minorHAnsi"/>
          <w:sz w:val="22"/>
          <w:szCs w:val="22"/>
        </w:rPr>
        <w:t xml:space="preserve"> more information about at least the more experienced arbitrators, being considered or use for ICA cases, thanks to the increasingly public awards and other information available from ISA cases.</w:t>
      </w:r>
      <w:r w:rsidRPr="0003060E">
        <w:rPr>
          <w:rStyle w:val="FootnoteReference"/>
          <w:rFonts w:asciiTheme="minorHAnsi" w:hAnsiTheme="minorHAnsi" w:cstheme="minorHAnsi"/>
          <w:sz w:val="22"/>
          <w:szCs w:val="22"/>
        </w:rPr>
        <w:footnoteReference w:id="64"/>
      </w:r>
      <w:r w:rsidRPr="0003060E">
        <w:rPr>
          <w:rFonts w:asciiTheme="minorHAnsi" w:hAnsiTheme="minorHAnsi" w:cstheme="minorHAnsi"/>
          <w:sz w:val="22"/>
          <w:szCs w:val="22"/>
        </w:rPr>
        <w:t xml:space="preserve"> However, there is far less good-quality public information about lawyers (and experts), which generate far more costs in the arbitrations compared to the arbitrators (or institutions administering arbitrations). This paucity of information, arguably contributing to the observed concerns about costs and delays in IA generally, may be exacerbated in jurisdictions (like Australia and Singapore) that still prefer to engage barristers for arbitrations rather than solicitors (as in the UK)</w:t>
      </w:r>
      <w:r w:rsidR="00C83FF9" w:rsidRPr="0003060E">
        <w:rPr>
          <w:rFonts w:asciiTheme="minorHAnsi" w:hAnsiTheme="minorHAnsi" w:cstheme="minorHAnsi"/>
          <w:sz w:val="22"/>
          <w:szCs w:val="22"/>
        </w:rPr>
        <w:t>. This is because</w:t>
      </w:r>
      <w:r w:rsidRPr="0003060E">
        <w:rPr>
          <w:rFonts w:asciiTheme="minorHAnsi" w:hAnsiTheme="minorHAnsi" w:cstheme="minorHAnsi"/>
          <w:sz w:val="22"/>
          <w:szCs w:val="22"/>
        </w:rPr>
        <w:t xml:space="preserve"> even repeat players </w:t>
      </w:r>
      <w:r w:rsidR="00C83FF9" w:rsidRPr="0003060E">
        <w:rPr>
          <w:rFonts w:asciiTheme="minorHAnsi" w:hAnsiTheme="minorHAnsi" w:cstheme="minorHAnsi"/>
          <w:sz w:val="22"/>
          <w:szCs w:val="22"/>
        </w:rPr>
        <w:t xml:space="preserve">in such jurisdictions </w:t>
      </w:r>
      <w:r w:rsidRPr="0003060E">
        <w:rPr>
          <w:rFonts w:asciiTheme="minorHAnsi" w:hAnsiTheme="minorHAnsi" w:cstheme="minorHAnsi"/>
          <w:sz w:val="22"/>
          <w:szCs w:val="22"/>
        </w:rPr>
        <w:t xml:space="preserve">may have less chance to determine whether their counsel </w:t>
      </w:r>
      <w:proofErr w:type="gramStart"/>
      <w:r w:rsidRPr="0003060E">
        <w:rPr>
          <w:rFonts w:asciiTheme="minorHAnsi" w:hAnsiTheme="minorHAnsi" w:cstheme="minorHAnsi"/>
          <w:sz w:val="22"/>
          <w:szCs w:val="22"/>
        </w:rPr>
        <w:t>are</w:t>
      </w:r>
      <w:proofErr w:type="gramEnd"/>
      <w:r w:rsidRPr="0003060E">
        <w:rPr>
          <w:rFonts w:asciiTheme="minorHAnsi" w:hAnsiTheme="minorHAnsi" w:cstheme="minorHAnsi"/>
          <w:sz w:val="22"/>
          <w:szCs w:val="22"/>
        </w:rPr>
        <w:t xml:space="preserve"> providing </w:t>
      </w:r>
      <w:r w:rsidR="00F57271" w:rsidRPr="0003060E">
        <w:rPr>
          <w:rFonts w:asciiTheme="minorHAnsi" w:hAnsiTheme="minorHAnsi" w:cstheme="minorHAnsi"/>
          <w:sz w:val="22"/>
          <w:szCs w:val="22"/>
        </w:rPr>
        <w:t>optimal</w:t>
      </w:r>
      <w:r w:rsidRPr="0003060E">
        <w:rPr>
          <w:rFonts w:asciiTheme="minorHAnsi" w:hAnsiTheme="minorHAnsi" w:cstheme="minorHAnsi"/>
          <w:sz w:val="22"/>
          <w:szCs w:val="22"/>
        </w:rPr>
        <w:t xml:space="preserve"> value.</w:t>
      </w:r>
    </w:p>
    <w:p w14:paraId="5A3C6A45" w14:textId="73B08288" w:rsidR="00D85894" w:rsidRPr="0003060E" w:rsidRDefault="00483B33" w:rsidP="00E76D41">
      <w:pPr>
        <w:pStyle w:val="Default"/>
        <w:spacing w:before="120"/>
        <w:jc w:val="both"/>
        <w:rPr>
          <w:rFonts w:asciiTheme="minorHAnsi" w:hAnsiTheme="minorHAnsi" w:cstheme="minorHAnsi"/>
          <w:sz w:val="22"/>
          <w:szCs w:val="22"/>
        </w:rPr>
      </w:pPr>
      <w:r w:rsidRPr="0003060E">
        <w:rPr>
          <w:rFonts w:asciiTheme="minorHAnsi" w:hAnsiTheme="minorHAnsi" w:cstheme="minorHAnsi"/>
          <w:sz w:val="22"/>
          <w:szCs w:val="22"/>
        </w:rPr>
        <w:t xml:space="preserve">A fifth factor that could explain the persistent problem of costs and delays in IA is another development with both pros and cons: the proliferation of </w:t>
      </w:r>
      <w:r w:rsidR="005C1D56" w:rsidRPr="0003060E">
        <w:rPr>
          <w:rFonts w:asciiTheme="minorHAnsi" w:hAnsiTheme="minorHAnsi" w:cstheme="minorHAnsi"/>
          <w:sz w:val="22"/>
          <w:szCs w:val="22"/>
        </w:rPr>
        <w:t>“</w:t>
      </w:r>
      <w:r w:rsidRPr="0003060E">
        <w:rPr>
          <w:rFonts w:asciiTheme="minorHAnsi" w:hAnsiTheme="minorHAnsi" w:cstheme="minorHAnsi"/>
          <w:sz w:val="22"/>
          <w:szCs w:val="22"/>
        </w:rPr>
        <w:t>soft law</w:t>
      </w:r>
      <w:r w:rsidR="005C1D56" w:rsidRPr="0003060E">
        <w:rPr>
          <w:rFonts w:asciiTheme="minorHAnsi" w:hAnsiTheme="minorHAnsi" w:cstheme="minorHAnsi"/>
          <w:sz w:val="22"/>
          <w:szCs w:val="22"/>
        </w:rPr>
        <w:t>”</w:t>
      </w:r>
      <w:r w:rsidRPr="0003060E">
        <w:rPr>
          <w:rFonts w:asciiTheme="minorHAnsi" w:hAnsiTheme="minorHAnsi" w:cstheme="minorHAnsi"/>
          <w:sz w:val="22"/>
          <w:szCs w:val="22"/>
        </w:rPr>
        <w:t xml:space="preserve"> instruments, notably from the International Bar Association (IBA).</w:t>
      </w:r>
      <w:r w:rsidRPr="0003060E">
        <w:rPr>
          <w:rStyle w:val="FootnoteReference"/>
          <w:rFonts w:asciiTheme="minorHAnsi" w:hAnsiTheme="minorHAnsi" w:cstheme="minorHAnsi"/>
          <w:sz w:val="22"/>
          <w:szCs w:val="22"/>
        </w:rPr>
        <w:footnoteReference w:id="65"/>
      </w:r>
      <w:r w:rsidRPr="0003060E">
        <w:rPr>
          <w:rFonts w:asciiTheme="minorHAnsi" w:hAnsiTheme="minorHAnsi" w:cstheme="minorHAnsi"/>
          <w:sz w:val="22"/>
          <w:szCs w:val="22"/>
        </w:rPr>
        <w:t xml:space="preserve"> The 1999 IBA Rules on</w:t>
      </w:r>
      <w:r w:rsidR="00961B22" w:rsidRPr="0003060E">
        <w:rPr>
          <w:rFonts w:asciiTheme="minorHAnsi" w:hAnsiTheme="minorHAnsi" w:cstheme="minorHAnsi"/>
          <w:sz w:val="22"/>
          <w:szCs w:val="22"/>
        </w:rPr>
        <w:t xml:space="preserve"> the Taking of Evidence in IA</w:t>
      </w:r>
      <w:r w:rsidRPr="0003060E">
        <w:rPr>
          <w:rFonts w:asciiTheme="minorHAnsi" w:hAnsiTheme="minorHAnsi" w:cstheme="minorHAnsi"/>
          <w:sz w:val="22"/>
          <w:szCs w:val="22"/>
        </w:rPr>
        <w:t xml:space="preserve"> (revised in 2010 and 2020) and the 2004 IBA Guidelines on Conflicts of Interest</w:t>
      </w:r>
      <w:r w:rsidR="005C1D56" w:rsidRPr="0003060E">
        <w:rPr>
          <w:rFonts w:asciiTheme="minorHAnsi" w:hAnsiTheme="minorHAnsi" w:cstheme="minorHAnsi"/>
          <w:sz w:val="22"/>
          <w:szCs w:val="22"/>
        </w:rPr>
        <w:t xml:space="preserve"> in IA</w:t>
      </w:r>
      <w:r w:rsidRPr="0003060E">
        <w:rPr>
          <w:rFonts w:asciiTheme="minorHAnsi" w:hAnsiTheme="minorHAnsi" w:cstheme="minorHAnsi"/>
          <w:sz w:val="22"/>
          <w:szCs w:val="22"/>
        </w:rPr>
        <w:t xml:space="preserve"> (revised in </w:t>
      </w:r>
      <w:r w:rsidR="005C1D56" w:rsidRPr="0003060E">
        <w:rPr>
          <w:rFonts w:asciiTheme="minorHAnsi" w:hAnsiTheme="minorHAnsi" w:cstheme="minorHAnsi"/>
          <w:sz w:val="22"/>
          <w:szCs w:val="22"/>
        </w:rPr>
        <w:t>2014</w:t>
      </w:r>
      <w:r w:rsidRPr="0003060E">
        <w:rPr>
          <w:rFonts w:asciiTheme="minorHAnsi" w:hAnsiTheme="minorHAnsi" w:cstheme="minorHAnsi"/>
          <w:sz w:val="22"/>
          <w:szCs w:val="22"/>
        </w:rPr>
        <w:t>) have been widely used to flesh out sparse provisions in arbitration legislation and even Rules arounds hearings and evidence-taking, as well as the key question of arbitrator neutrality.</w:t>
      </w:r>
      <w:r w:rsidRPr="0003060E">
        <w:rPr>
          <w:rStyle w:val="FootnoteReference"/>
          <w:rFonts w:asciiTheme="minorHAnsi" w:hAnsiTheme="minorHAnsi" w:cstheme="minorHAnsi"/>
          <w:sz w:val="22"/>
          <w:szCs w:val="22"/>
        </w:rPr>
        <w:footnoteReference w:id="66"/>
      </w:r>
      <w:r w:rsidRPr="0003060E">
        <w:rPr>
          <w:rFonts w:asciiTheme="minorHAnsi" w:hAnsiTheme="minorHAnsi" w:cstheme="minorHAnsi"/>
          <w:sz w:val="22"/>
          <w:szCs w:val="22"/>
        </w:rPr>
        <w:t xml:space="preserve"> The 2005 ACICA Rules were </w:t>
      </w:r>
      <w:r w:rsidRPr="0003060E">
        <w:rPr>
          <w:rFonts w:asciiTheme="minorHAnsi" w:hAnsiTheme="minorHAnsi" w:cstheme="minorHAnsi"/>
          <w:sz w:val="22"/>
          <w:szCs w:val="22"/>
        </w:rPr>
        <w:lastRenderedPageBreak/>
        <w:t xml:space="preserve">quite ahead of the times in drawing attention to both instruments, although </w:t>
      </w:r>
      <w:r w:rsidR="00D85894" w:rsidRPr="0003060E">
        <w:rPr>
          <w:rFonts w:asciiTheme="minorHAnsi" w:hAnsiTheme="minorHAnsi" w:cstheme="minorHAnsi"/>
          <w:sz w:val="22"/>
          <w:szCs w:val="22"/>
        </w:rPr>
        <w:t>not binding parties, tribunal or the institution determining arbitrator challenges to using them</w:t>
      </w:r>
      <w:r w:rsidRPr="0003060E">
        <w:rPr>
          <w:rFonts w:asciiTheme="minorHAnsi" w:hAnsiTheme="minorHAnsi" w:cstheme="minorHAnsi"/>
          <w:sz w:val="22"/>
          <w:szCs w:val="22"/>
        </w:rPr>
        <w:t>. The 2016 Rules went a step further</w:t>
      </w:r>
      <w:r w:rsidR="00D85894" w:rsidRPr="0003060E">
        <w:rPr>
          <w:rFonts w:asciiTheme="minorHAnsi" w:hAnsiTheme="minorHAnsi" w:cstheme="minorHAnsi"/>
          <w:sz w:val="22"/>
          <w:szCs w:val="22"/>
        </w:rPr>
        <w:t xml:space="preserve">, making soft law guidelines somewhat “harder”, </w:t>
      </w:r>
      <w:r w:rsidRPr="0003060E">
        <w:rPr>
          <w:rFonts w:asciiTheme="minorHAnsi" w:hAnsiTheme="minorHAnsi" w:cstheme="minorHAnsi"/>
          <w:sz w:val="22"/>
          <w:szCs w:val="22"/>
        </w:rPr>
        <w:t xml:space="preserve">by </w:t>
      </w:r>
      <w:r w:rsidR="00D85894" w:rsidRPr="0003060E">
        <w:rPr>
          <w:rFonts w:asciiTheme="minorHAnsi" w:hAnsiTheme="minorHAnsi" w:cstheme="minorHAnsi"/>
          <w:sz w:val="22"/>
          <w:szCs w:val="22"/>
        </w:rPr>
        <w:t xml:space="preserve">requiring </w:t>
      </w:r>
      <w:r w:rsidRPr="0003060E">
        <w:rPr>
          <w:rFonts w:asciiTheme="minorHAnsi" w:hAnsiTheme="minorHAnsi" w:cstheme="minorHAnsi"/>
          <w:sz w:val="22"/>
          <w:szCs w:val="22"/>
        </w:rPr>
        <w:t xml:space="preserve">that parties should ensure that </w:t>
      </w:r>
      <w:r w:rsidR="00D85894" w:rsidRPr="0003060E">
        <w:rPr>
          <w:rFonts w:asciiTheme="minorHAnsi" w:hAnsiTheme="minorHAnsi" w:cstheme="minorHAnsi"/>
          <w:sz w:val="22"/>
          <w:szCs w:val="22"/>
        </w:rPr>
        <w:t>their lawyers abide by the 2013 IBA Guidelines on Party Representation</w:t>
      </w:r>
      <w:r w:rsidR="005C1D56" w:rsidRPr="0003060E">
        <w:rPr>
          <w:rFonts w:asciiTheme="minorHAnsi" w:hAnsiTheme="minorHAnsi" w:cstheme="minorHAnsi"/>
          <w:sz w:val="22"/>
          <w:szCs w:val="22"/>
        </w:rPr>
        <w:t xml:space="preserve"> in IA</w:t>
      </w:r>
      <w:r w:rsidR="00D85894" w:rsidRPr="0003060E">
        <w:rPr>
          <w:rFonts w:asciiTheme="minorHAnsi" w:hAnsiTheme="minorHAnsi" w:cstheme="minorHAnsi"/>
          <w:sz w:val="22"/>
          <w:szCs w:val="22"/>
        </w:rPr>
        <w:t>.</w:t>
      </w:r>
      <w:r w:rsidRPr="0003060E">
        <w:rPr>
          <w:rStyle w:val="FootnoteReference"/>
          <w:rFonts w:asciiTheme="minorHAnsi" w:hAnsiTheme="minorHAnsi" w:cstheme="minorHAnsi"/>
          <w:sz w:val="22"/>
          <w:szCs w:val="22"/>
        </w:rPr>
        <w:footnoteReference w:id="67"/>
      </w:r>
    </w:p>
    <w:p w14:paraId="6FCD93E1" w14:textId="0C7EB348" w:rsidR="00EB7E98" w:rsidRPr="0003060E" w:rsidRDefault="00D85894" w:rsidP="00E76D41">
      <w:pPr>
        <w:pStyle w:val="Default"/>
        <w:spacing w:before="120"/>
        <w:jc w:val="both"/>
        <w:rPr>
          <w:rFonts w:asciiTheme="minorHAnsi" w:hAnsiTheme="minorHAnsi" w:cstheme="minorHAnsi"/>
          <w:sz w:val="22"/>
          <w:szCs w:val="22"/>
        </w:rPr>
      </w:pPr>
      <w:r w:rsidRPr="0003060E">
        <w:rPr>
          <w:rFonts w:asciiTheme="minorHAnsi" w:hAnsiTheme="minorHAnsi" w:cstheme="minorHAnsi"/>
          <w:sz w:val="22"/>
          <w:szCs w:val="22"/>
        </w:rPr>
        <w:t>Such soft law instruments have the advantage of filling gaps with harmonised solutions, which is particularly helpful as parties, counsel and more recently arbitrators have</w:t>
      </w:r>
      <w:r w:rsidR="00005132" w:rsidRPr="0003060E">
        <w:rPr>
          <w:rFonts w:asciiTheme="minorHAnsi" w:hAnsiTheme="minorHAnsi" w:cstheme="minorHAnsi"/>
          <w:sz w:val="22"/>
          <w:szCs w:val="22"/>
        </w:rPr>
        <w:t xml:space="preserve"> become more</w:t>
      </w:r>
      <w:r w:rsidRPr="0003060E">
        <w:rPr>
          <w:rFonts w:asciiTheme="minorHAnsi" w:hAnsiTheme="minorHAnsi" w:cstheme="minorHAnsi"/>
          <w:sz w:val="22"/>
          <w:szCs w:val="22"/>
        </w:rPr>
        <w:t xml:space="preserve"> diversified.</w:t>
      </w:r>
      <w:r w:rsidR="00961B22" w:rsidRPr="0003060E">
        <w:rPr>
          <w:rStyle w:val="FootnoteReference"/>
          <w:rFonts w:asciiTheme="minorHAnsi" w:hAnsiTheme="minorHAnsi" w:cstheme="minorHAnsi"/>
          <w:sz w:val="22"/>
          <w:szCs w:val="22"/>
        </w:rPr>
        <w:footnoteReference w:id="68"/>
      </w:r>
      <w:r w:rsidRPr="0003060E">
        <w:rPr>
          <w:rFonts w:asciiTheme="minorHAnsi" w:hAnsiTheme="minorHAnsi" w:cstheme="minorHAnsi"/>
          <w:sz w:val="22"/>
          <w:szCs w:val="22"/>
        </w:rPr>
        <w:t xml:space="preserve"> The IBA Rules on Evidence-Taking also tried to reconcile often quite different common law and civil law traditions, </w:t>
      </w:r>
      <w:proofErr w:type="spellStart"/>
      <w:r w:rsidRPr="0003060E">
        <w:rPr>
          <w:rFonts w:asciiTheme="minorHAnsi" w:hAnsiTheme="minorHAnsi" w:cstheme="minorHAnsi"/>
          <w:sz w:val="22"/>
          <w:szCs w:val="22"/>
        </w:rPr>
        <w:t>eg</w:t>
      </w:r>
      <w:proofErr w:type="spellEnd"/>
      <w:r w:rsidRPr="0003060E">
        <w:rPr>
          <w:rFonts w:asciiTheme="minorHAnsi" w:hAnsiTheme="minorHAnsi" w:cstheme="minorHAnsi"/>
          <w:sz w:val="22"/>
          <w:szCs w:val="22"/>
        </w:rPr>
        <w:t xml:space="preserve"> around pre-hearing document disclosure or discovery.</w:t>
      </w:r>
      <w:r w:rsidRPr="0003060E">
        <w:rPr>
          <w:rStyle w:val="FootnoteReference"/>
          <w:rFonts w:asciiTheme="minorHAnsi" w:hAnsiTheme="minorHAnsi" w:cstheme="minorHAnsi"/>
          <w:sz w:val="22"/>
          <w:szCs w:val="22"/>
        </w:rPr>
        <w:footnoteReference w:id="69"/>
      </w:r>
      <w:r w:rsidRPr="0003060E">
        <w:rPr>
          <w:rFonts w:asciiTheme="minorHAnsi" w:hAnsiTheme="minorHAnsi" w:cstheme="minorHAnsi"/>
          <w:sz w:val="22"/>
          <w:szCs w:val="22"/>
        </w:rPr>
        <w:t xml:space="preserve"> However, </w:t>
      </w:r>
      <w:r w:rsidR="00EB7E98" w:rsidRPr="0003060E">
        <w:rPr>
          <w:rFonts w:asciiTheme="minorHAnsi" w:hAnsiTheme="minorHAnsi" w:cstheme="minorHAnsi"/>
          <w:sz w:val="22"/>
          <w:szCs w:val="22"/>
        </w:rPr>
        <w:t xml:space="preserve">a disadvantage is that </w:t>
      </w:r>
      <w:r w:rsidRPr="0003060E">
        <w:rPr>
          <w:rFonts w:asciiTheme="minorHAnsi" w:hAnsiTheme="minorHAnsi" w:cstheme="minorHAnsi"/>
          <w:sz w:val="22"/>
          <w:szCs w:val="22"/>
        </w:rPr>
        <w:t>the fact of spelling out specific provisions – including revisions adding even more text – can generate more scope for canny lawyers to dispute procedures and outcomes</w:t>
      </w:r>
      <w:r w:rsidR="00EB7E98" w:rsidRPr="0003060E">
        <w:rPr>
          <w:rFonts w:asciiTheme="minorHAnsi" w:hAnsiTheme="minorHAnsi" w:cstheme="minorHAnsi"/>
          <w:sz w:val="22"/>
          <w:szCs w:val="22"/>
        </w:rPr>
        <w:t xml:space="preserve"> in IA</w:t>
      </w:r>
      <w:r w:rsidRPr="0003060E">
        <w:rPr>
          <w:rFonts w:asciiTheme="minorHAnsi" w:hAnsiTheme="minorHAnsi" w:cstheme="minorHAnsi"/>
          <w:sz w:val="22"/>
          <w:szCs w:val="22"/>
        </w:rPr>
        <w:t xml:space="preserve">. Indicative applications, like the “traffic light” categories of situations set out in the Guidelines on Conflict of Interest, can </w:t>
      </w:r>
      <w:r w:rsidR="00EB7E98" w:rsidRPr="0003060E">
        <w:rPr>
          <w:rFonts w:asciiTheme="minorHAnsi" w:hAnsiTheme="minorHAnsi" w:cstheme="minorHAnsi"/>
          <w:sz w:val="22"/>
          <w:szCs w:val="22"/>
        </w:rPr>
        <w:t xml:space="preserve">also </w:t>
      </w:r>
      <w:r w:rsidRPr="0003060E">
        <w:rPr>
          <w:rFonts w:asciiTheme="minorHAnsi" w:hAnsiTheme="minorHAnsi" w:cstheme="minorHAnsi"/>
          <w:sz w:val="22"/>
          <w:szCs w:val="22"/>
        </w:rPr>
        <w:t>end up be</w:t>
      </w:r>
      <w:r w:rsidR="00EB7E98" w:rsidRPr="0003060E">
        <w:rPr>
          <w:rFonts w:asciiTheme="minorHAnsi" w:hAnsiTheme="minorHAnsi" w:cstheme="minorHAnsi"/>
          <w:sz w:val="22"/>
          <w:szCs w:val="22"/>
        </w:rPr>
        <w:t>coming</w:t>
      </w:r>
      <w:r w:rsidRPr="0003060E">
        <w:rPr>
          <w:rFonts w:asciiTheme="minorHAnsi" w:hAnsiTheme="minorHAnsi" w:cstheme="minorHAnsi"/>
          <w:sz w:val="22"/>
          <w:szCs w:val="22"/>
        </w:rPr>
        <w:t xml:space="preserve"> set in stone.</w:t>
      </w:r>
      <w:r w:rsidRPr="0003060E">
        <w:rPr>
          <w:rStyle w:val="FootnoteReference"/>
          <w:rFonts w:asciiTheme="minorHAnsi" w:hAnsiTheme="minorHAnsi" w:cstheme="minorHAnsi"/>
          <w:sz w:val="22"/>
          <w:szCs w:val="22"/>
        </w:rPr>
        <w:footnoteReference w:id="70"/>
      </w:r>
      <w:r w:rsidR="00EB7E98" w:rsidRPr="0003060E">
        <w:rPr>
          <w:rFonts w:asciiTheme="minorHAnsi" w:hAnsiTheme="minorHAnsi" w:cstheme="minorHAnsi"/>
          <w:sz w:val="22"/>
          <w:szCs w:val="22"/>
        </w:rPr>
        <w:t xml:space="preserve"> Some commentary </w:t>
      </w:r>
      <w:r w:rsidR="00D64C19" w:rsidRPr="0003060E">
        <w:rPr>
          <w:rFonts w:asciiTheme="minorHAnsi" w:hAnsiTheme="minorHAnsi" w:cstheme="minorHAnsi"/>
          <w:sz w:val="22"/>
          <w:szCs w:val="22"/>
        </w:rPr>
        <w:t xml:space="preserve">has </w:t>
      </w:r>
      <w:r w:rsidR="00EB7E98" w:rsidRPr="0003060E">
        <w:rPr>
          <w:rFonts w:asciiTheme="minorHAnsi" w:hAnsiTheme="minorHAnsi" w:cstheme="minorHAnsi"/>
          <w:sz w:val="22"/>
          <w:szCs w:val="22"/>
        </w:rPr>
        <w:t xml:space="preserve">questioned the legitimacy of the formulations in those Guidelines, noting </w:t>
      </w:r>
      <w:r w:rsidR="0002795E" w:rsidRPr="0003060E">
        <w:rPr>
          <w:rFonts w:asciiTheme="minorHAnsi" w:hAnsiTheme="minorHAnsi" w:cstheme="minorHAnsi"/>
          <w:sz w:val="22"/>
          <w:szCs w:val="22"/>
        </w:rPr>
        <w:t xml:space="preserve">many of </w:t>
      </w:r>
      <w:r w:rsidR="00EB7E98" w:rsidRPr="0003060E">
        <w:rPr>
          <w:rFonts w:asciiTheme="minorHAnsi" w:hAnsiTheme="minorHAnsi" w:cstheme="minorHAnsi"/>
          <w:sz w:val="22"/>
          <w:szCs w:val="22"/>
        </w:rPr>
        <w:t xml:space="preserve">the IBA </w:t>
      </w:r>
      <w:r w:rsidR="0002795E" w:rsidRPr="0003060E">
        <w:rPr>
          <w:rFonts w:asciiTheme="minorHAnsi" w:hAnsiTheme="minorHAnsi" w:cstheme="minorHAnsi"/>
          <w:sz w:val="22"/>
          <w:szCs w:val="22"/>
        </w:rPr>
        <w:t xml:space="preserve">drafting </w:t>
      </w:r>
      <w:r w:rsidR="00EB7E98" w:rsidRPr="0003060E">
        <w:rPr>
          <w:rFonts w:asciiTheme="minorHAnsi" w:hAnsiTheme="minorHAnsi" w:cstheme="minorHAnsi"/>
          <w:sz w:val="22"/>
          <w:szCs w:val="22"/>
        </w:rPr>
        <w:t>committee members were from large law firms</w:t>
      </w:r>
      <w:r w:rsidR="0002795E" w:rsidRPr="0003060E">
        <w:rPr>
          <w:rFonts w:asciiTheme="minorHAnsi" w:hAnsiTheme="minorHAnsi" w:cstheme="minorHAnsi"/>
          <w:sz w:val="22"/>
          <w:szCs w:val="22"/>
        </w:rPr>
        <w:t>.</w:t>
      </w:r>
      <w:r w:rsidR="001A178F" w:rsidRPr="0003060E">
        <w:rPr>
          <w:rStyle w:val="FootnoteReference"/>
          <w:rFonts w:asciiTheme="minorHAnsi" w:hAnsiTheme="minorHAnsi" w:cstheme="minorHAnsi"/>
          <w:sz w:val="22"/>
          <w:szCs w:val="22"/>
        </w:rPr>
        <w:footnoteReference w:id="71"/>
      </w:r>
      <w:r w:rsidR="00EB7E98" w:rsidRPr="0003060E">
        <w:rPr>
          <w:rFonts w:asciiTheme="minorHAnsi" w:hAnsiTheme="minorHAnsi" w:cstheme="minorHAnsi"/>
          <w:sz w:val="22"/>
          <w:szCs w:val="22"/>
        </w:rPr>
        <w:t xml:space="preserve"> </w:t>
      </w:r>
      <w:r w:rsidR="00D64C19" w:rsidRPr="0003060E">
        <w:rPr>
          <w:rFonts w:asciiTheme="minorHAnsi" w:hAnsiTheme="minorHAnsi" w:cstheme="minorHAnsi"/>
          <w:sz w:val="22"/>
          <w:szCs w:val="22"/>
        </w:rPr>
        <w:t>Such firms</w:t>
      </w:r>
      <w:r w:rsidR="00EB7E98" w:rsidRPr="0003060E">
        <w:rPr>
          <w:rFonts w:asciiTheme="minorHAnsi" w:hAnsiTheme="minorHAnsi" w:cstheme="minorHAnsi"/>
          <w:sz w:val="22"/>
          <w:szCs w:val="22"/>
        </w:rPr>
        <w:t xml:space="preserve"> </w:t>
      </w:r>
      <w:r w:rsidR="0002795E" w:rsidRPr="0003060E">
        <w:rPr>
          <w:rFonts w:asciiTheme="minorHAnsi" w:hAnsiTheme="minorHAnsi" w:cstheme="minorHAnsi"/>
          <w:sz w:val="22"/>
          <w:szCs w:val="22"/>
        </w:rPr>
        <w:t xml:space="preserve">could </w:t>
      </w:r>
      <w:r w:rsidR="00EB7E98" w:rsidRPr="0003060E">
        <w:rPr>
          <w:rFonts w:asciiTheme="minorHAnsi" w:hAnsiTheme="minorHAnsi" w:cstheme="minorHAnsi"/>
          <w:sz w:val="22"/>
          <w:szCs w:val="22"/>
        </w:rPr>
        <w:t>be more generous towards perceived conflicts of interest involving links between arbitrators and counsel.</w:t>
      </w:r>
      <w:r w:rsidR="0002795E" w:rsidRPr="0003060E">
        <w:rPr>
          <w:rFonts w:asciiTheme="minorHAnsi" w:hAnsiTheme="minorHAnsi" w:cstheme="minorHAnsi"/>
          <w:sz w:val="22"/>
          <w:szCs w:val="22"/>
        </w:rPr>
        <w:t xml:space="preserve"> Such concerns are also heightened given the cross-over of arbitrators specialising in ICA into the world of ISA, and </w:t>
      </w:r>
      <w:r w:rsidR="00005132" w:rsidRPr="0003060E">
        <w:rPr>
          <w:rFonts w:asciiTheme="minorHAnsi" w:hAnsiTheme="minorHAnsi" w:cstheme="minorHAnsi"/>
          <w:sz w:val="22"/>
          <w:szCs w:val="22"/>
        </w:rPr>
        <w:t xml:space="preserve">then </w:t>
      </w:r>
      <w:r w:rsidR="0002795E" w:rsidRPr="0003060E">
        <w:rPr>
          <w:rFonts w:asciiTheme="minorHAnsi" w:hAnsiTheme="minorHAnsi" w:cstheme="minorHAnsi"/>
          <w:sz w:val="22"/>
          <w:szCs w:val="22"/>
        </w:rPr>
        <w:t>the invocation of the IBA Guidelines also in the latter context.</w:t>
      </w:r>
    </w:p>
    <w:p w14:paraId="5626606C" w14:textId="6E6EA8BC" w:rsidR="00B80E9E" w:rsidRPr="0003060E" w:rsidRDefault="00EB7E98" w:rsidP="00E76D41">
      <w:pPr>
        <w:pStyle w:val="Default"/>
        <w:spacing w:before="120"/>
        <w:jc w:val="both"/>
        <w:rPr>
          <w:rFonts w:asciiTheme="minorHAnsi" w:hAnsiTheme="minorHAnsi" w:cstheme="minorHAnsi"/>
          <w:sz w:val="22"/>
          <w:szCs w:val="22"/>
        </w:rPr>
      </w:pPr>
      <w:r w:rsidRPr="0003060E">
        <w:rPr>
          <w:rFonts w:asciiTheme="minorHAnsi" w:hAnsiTheme="minorHAnsi" w:cstheme="minorHAnsi"/>
          <w:sz w:val="22"/>
          <w:szCs w:val="22"/>
        </w:rPr>
        <w:t>From 2011, a prominent Swiss practitioner and arbitrator started voicing concerns about the evolving soft law instruments emanating especially from the IBA.</w:t>
      </w:r>
      <w:r w:rsidRPr="0003060E">
        <w:rPr>
          <w:rStyle w:val="FootnoteReference"/>
          <w:rFonts w:asciiTheme="minorHAnsi" w:hAnsiTheme="minorHAnsi" w:cstheme="minorHAnsi"/>
          <w:sz w:val="22"/>
          <w:szCs w:val="22"/>
        </w:rPr>
        <w:footnoteReference w:id="72"/>
      </w:r>
      <w:r w:rsidR="00B80E9E" w:rsidRPr="0003060E">
        <w:rPr>
          <w:rFonts w:asciiTheme="minorHAnsi" w:hAnsiTheme="minorHAnsi" w:cstheme="minorHAnsi"/>
          <w:sz w:val="22"/>
          <w:szCs w:val="22"/>
        </w:rPr>
        <w:t xml:space="preserve"> In 2013, in a Message published in a </w:t>
      </w:r>
      <w:r w:rsidR="00B80E9E" w:rsidRPr="0003060E">
        <w:rPr>
          <w:rFonts w:asciiTheme="minorHAnsi" w:hAnsiTheme="minorHAnsi" w:cstheme="minorHAnsi"/>
          <w:sz w:val="22"/>
          <w:szCs w:val="22"/>
        </w:rPr>
        <w:lastRenderedPageBreak/>
        <w:t xml:space="preserve">prominent journal as President of </w:t>
      </w:r>
      <w:r w:rsidRPr="0003060E">
        <w:rPr>
          <w:rFonts w:asciiTheme="minorHAnsi" w:hAnsiTheme="minorHAnsi" w:cstheme="minorHAnsi"/>
          <w:sz w:val="22"/>
          <w:szCs w:val="22"/>
        </w:rPr>
        <w:t>the Swiss Arbitration Association</w:t>
      </w:r>
      <w:r w:rsidR="00B80E9E" w:rsidRPr="0003060E">
        <w:rPr>
          <w:rFonts w:asciiTheme="minorHAnsi" w:hAnsiTheme="minorHAnsi" w:cstheme="minorHAnsi"/>
          <w:sz w:val="22"/>
          <w:szCs w:val="22"/>
        </w:rPr>
        <w:t>, Dr Michael Schneider went on to elaborate:</w:t>
      </w:r>
      <w:r w:rsidR="00B80E9E" w:rsidRPr="0003060E">
        <w:rPr>
          <w:rStyle w:val="FootnoteReference"/>
          <w:rFonts w:asciiTheme="minorHAnsi" w:hAnsiTheme="minorHAnsi" w:cstheme="minorHAnsi"/>
          <w:sz w:val="22"/>
          <w:szCs w:val="22"/>
        </w:rPr>
        <w:footnoteReference w:id="73"/>
      </w:r>
    </w:p>
    <w:p w14:paraId="4A579636" w14:textId="5A12FE81" w:rsidR="00B80E9E" w:rsidRPr="0003060E" w:rsidRDefault="00961B22" w:rsidP="00E76D41">
      <w:pPr>
        <w:pStyle w:val="Default"/>
        <w:spacing w:before="120"/>
        <w:ind w:left="720"/>
        <w:jc w:val="both"/>
        <w:rPr>
          <w:rFonts w:asciiTheme="minorHAnsi" w:hAnsiTheme="minorHAnsi" w:cstheme="minorHAnsi"/>
          <w:sz w:val="22"/>
          <w:szCs w:val="22"/>
        </w:rPr>
      </w:pPr>
      <w:r w:rsidRPr="0003060E">
        <w:rPr>
          <w:rFonts w:asciiTheme="minorHAnsi" w:hAnsiTheme="minorHAnsi" w:cstheme="minorHAnsi"/>
          <w:sz w:val="22"/>
          <w:szCs w:val="22"/>
          <w:lang w:val="en-NZ"/>
        </w:rPr>
        <w:t>“</w:t>
      </w:r>
      <w:r w:rsidR="00B80E9E" w:rsidRPr="0003060E">
        <w:rPr>
          <w:rFonts w:asciiTheme="minorHAnsi" w:hAnsiTheme="minorHAnsi" w:cstheme="minorHAnsi"/>
          <w:sz w:val="22"/>
          <w:szCs w:val="22"/>
          <w:lang w:val="en-NZ"/>
        </w:rPr>
        <w:t xml:space="preserve">One of the principal factors which today absorb the time of arbitrators, parties and counsel, increasing the costs of arbitral proceedings, is the </w:t>
      </w:r>
      <w:proofErr w:type="gramStart"/>
      <w:r w:rsidR="00B80E9E" w:rsidRPr="0003060E">
        <w:rPr>
          <w:rFonts w:asciiTheme="minorHAnsi" w:hAnsiTheme="minorHAnsi" w:cstheme="minorHAnsi"/>
          <w:sz w:val="22"/>
          <w:szCs w:val="22"/>
          <w:lang w:val="en-NZ"/>
        </w:rPr>
        <w:t>ever growing</w:t>
      </w:r>
      <w:proofErr w:type="gramEnd"/>
      <w:r w:rsidR="00B80E9E" w:rsidRPr="0003060E">
        <w:rPr>
          <w:rFonts w:asciiTheme="minorHAnsi" w:hAnsiTheme="minorHAnsi" w:cstheme="minorHAnsi"/>
          <w:sz w:val="22"/>
          <w:szCs w:val="22"/>
          <w:lang w:val="en-NZ"/>
        </w:rPr>
        <w:t xml:space="preserve"> number of procedural motions. The greatest culprit in this respect is no doubt the document production requests, and the IBA played an important role in the spread of this curse. Before the adoption of the IBA Rules on the Taking of Evidence …, large parts of the world conducted arbitration without this form of discovery …</w:t>
      </w:r>
    </w:p>
    <w:p w14:paraId="5D9CE7F1" w14:textId="264C1C39" w:rsidR="00B80E9E" w:rsidRPr="0003060E" w:rsidRDefault="00B80E9E" w:rsidP="00E76D41">
      <w:pPr>
        <w:pStyle w:val="Default"/>
        <w:spacing w:before="120"/>
        <w:ind w:left="720" w:firstLine="720"/>
        <w:jc w:val="both"/>
        <w:rPr>
          <w:rFonts w:asciiTheme="minorHAnsi" w:hAnsiTheme="minorHAnsi" w:cstheme="minorHAnsi"/>
          <w:sz w:val="22"/>
          <w:szCs w:val="22"/>
        </w:rPr>
      </w:pPr>
      <w:r w:rsidRPr="0003060E">
        <w:rPr>
          <w:rFonts w:asciiTheme="minorHAnsi" w:hAnsiTheme="minorHAnsi" w:cstheme="minorHAnsi"/>
          <w:sz w:val="22"/>
          <w:szCs w:val="22"/>
          <w:lang w:val="en-NZ"/>
        </w:rPr>
        <w:t xml:space="preserve">The Evidence Rules were followed by the IBA Guidelines on Conflicts of Interest which have become the widely accepted yardstick for determining conflicts and have replaced independent thinking as to whether a particular situation really constitutes an actual, </w:t>
      </w:r>
      <w:proofErr w:type="gramStart"/>
      <w:r w:rsidRPr="0003060E">
        <w:rPr>
          <w:rFonts w:asciiTheme="minorHAnsi" w:hAnsiTheme="minorHAnsi" w:cstheme="minorHAnsi"/>
          <w:sz w:val="22"/>
          <w:szCs w:val="22"/>
          <w:lang w:val="en-NZ"/>
        </w:rPr>
        <w:t>potential</w:t>
      </w:r>
      <w:proofErr w:type="gramEnd"/>
      <w:r w:rsidRPr="0003060E">
        <w:rPr>
          <w:rFonts w:asciiTheme="minorHAnsi" w:hAnsiTheme="minorHAnsi" w:cstheme="minorHAnsi"/>
          <w:sz w:val="22"/>
          <w:szCs w:val="22"/>
          <w:lang w:val="en-NZ"/>
        </w:rPr>
        <w:t xml:space="preserve"> or perceived conflict of interest — stimulating instead the imagination of all those who wish to disrupt proceedings by challenging arbitrators.</w:t>
      </w:r>
      <w:r w:rsidR="00961B22" w:rsidRPr="0003060E">
        <w:rPr>
          <w:rFonts w:asciiTheme="minorHAnsi" w:hAnsiTheme="minorHAnsi" w:cstheme="minorHAnsi"/>
          <w:sz w:val="22"/>
          <w:szCs w:val="22"/>
          <w:lang w:val="en-NZ"/>
        </w:rPr>
        <w:t>”</w:t>
      </w:r>
    </w:p>
    <w:p w14:paraId="359E3FFD" w14:textId="50E38E26" w:rsidR="007B3D73" w:rsidRPr="0003060E" w:rsidRDefault="007B3D73" w:rsidP="00E76D41">
      <w:pPr>
        <w:pStyle w:val="Default"/>
        <w:spacing w:before="120"/>
        <w:jc w:val="both"/>
        <w:rPr>
          <w:rFonts w:asciiTheme="minorHAnsi" w:hAnsiTheme="minorHAnsi" w:cstheme="minorHAnsi"/>
          <w:sz w:val="22"/>
          <w:szCs w:val="22"/>
        </w:rPr>
      </w:pPr>
      <w:r w:rsidRPr="0003060E">
        <w:rPr>
          <w:rFonts w:asciiTheme="minorHAnsi" w:hAnsiTheme="minorHAnsi" w:cstheme="minorHAnsi"/>
          <w:sz w:val="22"/>
          <w:szCs w:val="22"/>
        </w:rPr>
        <w:t xml:space="preserve">Such critiques led to </w:t>
      </w:r>
      <w:r w:rsidR="0002795E" w:rsidRPr="0003060E">
        <w:rPr>
          <w:rFonts w:asciiTheme="minorHAnsi" w:hAnsiTheme="minorHAnsi" w:cstheme="minorHAnsi"/>
          <w:sz w:val="22"/>
          <w:szCs w:val="22"/>
        </w:rPr>
        <w:t>some significant</w:t>
      </w:r>
      <w:r w:rsidRPr="0003060E">
        <w:rPr>
          <w:rFonts w:asciiTheme="minorHAnsi" w:hAnsiTheme="minorHAnsi" w:cstheme="minorHAnsi"/>
          <w:sz w:val="22"/>
          <w:szCs w:val="22"/>
        </w:rPr>
        <w:t xml:space="preserve"> debate within the wider IA community, driven particularly by experts within the civil law tradition concerned about the further encroachment of common law thinking and practices. Some joined together in issuing the 2018 Prague Rules </w:t>
      </w:r>
      <w:r w:rsidRPr="0003060E">
        <w:rPr>
          <w:rFonts w:asciiTheme="minorHAnsi" w:eastAsia="Times New Roman" w:hAnsiTheme="minorHAnsi" w:cstheme="minorHAnsi"/>
          <w:sz w:val="22"/>
          <w:szCs w:val="22"/>
        </w:rPr>
        <w:t>on the Efficient Conduct of Proceedings in International Arbitration</w:t>
      </w:r>
      <w:r w:rsidRPr="0003060E">
        <w:rPr>
          <w:rFonts w:asciiTheme="minorHAnsi" w:hAnsiTheme="minorHAnsi" w:cstheme="minorHAnsi"/>
          <w:sz w:val="22"/>
          <w:szCs w:val="22"/>
        </w:rPr>
        <w:t xml:space="preserve">. These provide more civil law tradition inspired approaches to document production, examinations and numbers of witnesses, and pro-active case management by tribunals (including around time limits for introducing evidence). Other innovations compared to the IBA Rules include provisions on the </w:t>
      </w:r>
      <w:proofErr w:type="spellStart"/>
      <w:r w:rsidRPr="0003060E">
        <w:rPr>
          <w:rFonts w:asciiTheme="minorHAnsi" w:hAnsiTheme="minorHAnsi" w:cstheme="minorHAnsi"/>
          <w:i/>
          <w:iCs/>
          <w:sz w:val="22"/>
          <w:szCs w:val="22"/>
        </w:rPr>
        <w:t>iura</w:t>
      </w:r>
      <w:proofErr w:type="spellEnd"/>
      <w:r w:rsidRPr="0003060E">
        <w:rPr>
          <w:rFonts w:asciiTheme="minorHAnsi" w:hAnsiTheme="minorHAnsi" w:cstheme="minorHAnsi"/>
          <w:i/>
          <w:iCs/>
          <w:sz w:val="22"/>
          <w:szCs w:val="22"/>
        </w:rPr>
        <w:t xml:space="preserve"> </w:t>
      </w:r>
      <w:proofErr w:type="spellStart"/>
      <w:r w:rsidRPr="0003060E">
        <w:rPr>
          <w:rFonts w:asciiTheme="minorHAnsi" w:hAnsiTheme="minorHAnsi" w:cstheme="minorHAnsi"/>
          <w:i/>
          <w:iCs/>
          <w:sz w:val="22"/>
          <w:szCs w:val="22"/>
        </w:rPr>
        <w:t>novit</w:t>
      </w:r>
      <w:proofErr w:type="spellEnd"/>
      <w:r w:rsidRPr="0003060E">
        <w:rPr>
          <w:rFonts w:asciiTheme="minorHAnsi" w:hAnsiTheme="minorHAnsi" w:cstheme="minorHAnsi"/>
          <w:i/>
          <w:iCs/>
          <w:sz w:val="22"/>
          <w:szCs w:val="22"/>
        </w:rPr>
        <w:t xml:space="preserve"> curia </w:t>
      </w:r>
      <w:r w:rsidRPr="0003060E">
        <w:rPr>
          <w:rFonts w:asciiTheme="minorHAnsi" w:hAnsiTheme="minorHAnsi" w:cstheme="minorHAnsi"/>
          <w:sz w:val="22"/>
          <w:szCs w:val="22"/>
        </w:rPr>
        <w:t>principle (Art 7) and tribunal assistance in amicable settlement (Art 9).</w:t>
      </w:r>
      <w:r w:rsidRPr="0003060E">
        <w:rPr>
          <w:rStyle w:val="FootnoteReference"/>
          <w:rFonts w:asciiTheme="minorHAnsi" w:hAnsiTheme="minorHAnsi" w:cstheme="minorHAnsi"/>
          <w:sz w:val="22"/>
          <w:szCs w:val="22"/>
        </w:rPr>
        <w:footnoteReference w:id="74"/>
      </w:r>
    </w:p>
    <w:p w14:paraId="7032D4C1" w14:textId="23F9A1B6" w:rsidR="007B3D73" w:rsidRPr="0003060E" w:rsidRDefault="009A149F" w:rsidP="00E76D41">
      <w:pPr>
        <w:pStyle w:val="Default"/>
        <w:spacing w:before="120"/>
        <w:jc w:val="both"/>
        <w:rPr>
          <w:rFonts w:asciiTheme="minorHAnsi" w:hAnsiTheme="minorHAnsi" w:cstheme="minorHAnsi"/>
          <w:sz w:val="22"/>
          <w:szCs w:val="22"/>
        </w:rPr>
      </w:pPr>
      <w:r w:rsidRPr="0003060E">
        <w:rPr>
          <w:rFonts w:asciiTheme="minorHAnsi" w:hAnsiTheme="minorHAnsi" w:cstheme="minorHAnsi"/>
          <w:sz w:val="22"/>
          <w:szCs w:val="22"/>
        </w:rPr>
        <w:t>However, the Prague Rules are not yet referenced in Rules of the major IA institutions or promoted by them</w:t>
      </w:r>
      <w:r w:rsidR="00961B22" w:rsidRPr="0003060E">
        <w:rPr>
          <w:rFonts w:asciiTheme="minorHAnsi" w:hAnsiTheme="minorHAnsi" w:cstheme="minorHAnsi"/>
          <w:sz w:val="22"/>
          <w:szCs w:val="22"/>
        </w:rPr>
        <w:t>.</w:t>
      </w:r>
      <w:r w:rsidR="00AB1AF0" w:rsidRPr="0003060E">
        <w:rPr>
          <w:rStyle w:val="FootnoteReference"/>
          <w:rFonts w:asciiTheme="minorHAnsi" w:hAnsiTheme="minorHAnsi" w:cstheme="minorHAnsi"/>
          <w:sz w:val="22"/>
          <w:szCs w:val="22"/>
        </w:rPr>
        <w:footnoteReference w:id="75"/>
      </w:r>
      <w:r w:rsidR="00961B22" w:rsidRPr="0003060E">
        <w:rPr>
          <w:rFonts w:asciiTheme="minorHAnsi" w:hAnsiTheme="minorHAnsi" w:cstheme="minorHAnsi"/>
          <w:sz w:val="22"/>
          <w:szCs w:val="22"/>
        </w:rPr>
        <w:t xml:space="preserve"> It is also</w:t>
      </w:r>
      <w:r w:rsidRPr="0003060E">
        <w:rPr>
          <w:rFonts w:asciiTheme="minorHAnsi" w:hAnsiTheme="minorHAnsi" w:cstheme="minorHAnsi"/>
          <w:sz w:val="22"/>
          <w:szCs w:val="22"/>
        </w:rPr>
        <w:t xml:space="preserve"> unclear how often tribunals and parties choose to follow them instead of the IBA Rules on Evidence-Taking</w:t>
      </w:r>
      <w:r w:rsidR="00961B22" w:rsidRPr="0003060E">
        <w:rPr>
          <w:rFonts w:asciiTheme="minorHAnsi" w:hAnsiTheme="minorHAnsi" w:cstheme="minorHAnsi"/>
          <w:sz w:val="22"/>
          <w:szCs w:val="22"/>
        </w:rPr>
        <w:t>. Instead, for example, there some reflection of their more hands-on approach for tribunals in the Japan Commercial Arbitration Association (JCAA) “Interactive Arbitration Rules” inaugurated in 2019 (and revised in 2021) alongside updates to their longstanding Commercial Arbitration Rules. The Interactive Rules are:</w:t>
      </w:r>
      <w:r w:rsidR="00961B22" w:rsidRPr="0003060E">
        <w:rPr>
          <w:rStyle w:val="FootnoteReference"/>
          <w:rFonts w:asciiTheme="minorHAnsi" w:hAnsiTheme="minorHAnsi" w:cstheme="minorHAnsi"/>
          <w:sz w:val="22"/>
          <w:szCs w:val="22"/>
        </w:rPr>
        <w:footnoteReference w:id="76"/>
      </w:r>
      <w:r w:rsidR="00961B22" w:rsidRPr="0003060E">
        <w:rPr>
          <w:rFonts w:asciiTheme="minorHAnsi" w:hAnsiTheme="minorHAnsi" w:cstheme="minorHAnsi"/>
          <w:sz w:val="22"/>
          <w:szCs w:val="22"/>
        </w:rPr>
        <w:t xml:space="preserve"> </w:t>
      </w:r>
    </w:p>
    <w:p w14:paraId="1EB47B4B" w14:textId="7394308E" w:rsidR="00961B22" w:rsidRPr="0003060E" w:rsidRDefault="00961B22" w:rsidP="00E76D41">
      <w:pPr>
        <w:spacing w:before="120" w:after="100" w:afterAutospacing="1"/>
        <w:ind w:left="720"/>
        <w:jc w:val="both"/>
        <w:rPr>
          <w:rFonts w:asciiTheme="minorHAnsi" w:hAnsiTheme="minorHAnsi" w:cstheme="minorHAnsi"/>
        </w:rPr>
      </w:pPr>
      <w:r w:rsidRPr="0003060E">
        <w:rPr>
          <w:rFonts w:asciiTheme="minorHAnsi" w:hAnsiTheme="minorHAnsi" w:cstheme="minorHAnsi"/>
        </w:rPr>
        <w:t>“</w:t>
      </w:r>
      <w:proofErr w:type="gramStart"/>
      <w:r w:rsidRPr="0003060E">
        <w:rPr>
          <w:rFonts w:asciiTheme="minorHAnsi" w:hAnsiTheme="minorHAnsi" w:cstheme="minorHAnsi"/>
        </w:rPr>
        <w:t>aimed</w:t>
      </w:r>
      <w:proofErr w:type="gramEnd"/>
      <w:r w:rsidRPr="0003060E">
        <w:rPr>
          <w:rFonts w:asciiTheme="minorHAnsi" w:hAnsiTheme="minorHAnsi" w:cstheme="minorHAnsi"/>
        </w:rPr>
        <w:t xml:space="preserve"> at offering maximum predictability and efficiency of arbitrations by adopting a </w:t>
      </w:r>
      <w:r w:rsidRPr="0003060E">
        <w:rPr>
          <w:rFonts w:asciiTheme="minorHAnsi" w:hAnsiTheme="minorHAnsi" w:cstheme="minorHAnsi"/>
          <w:i/>
          <w:iCs/>
        </w:rPr>
        <w:t>more "civil law approach"</w:t>
      </w:r>
      <w:r w:rsidRPr="0003060E">
        <w:rPr>
          <w:rFonts w:asciiTheme="minorHAnsi" w:hAnsiTheme="minorHAnsi" w:cstheme="minorHAnsi"/>
        </w:rPr>
        <w:t xml:space="preserve">. Arbitral tribunals are encouraged to actively administer the proceedings and establish an open "dialogue" with the parties </w:t>
      </w:r>
      <w:proofErr w:type="gramStart"/>
      <w:r w:rsidRPr="0003060E">
        <w:rPr>
          <w:rFonts w:asciiTheme="minorHAnsi" w:hAnsiTheme="minorHAnsi" w:cstheme="minorHAnsi"/>
        </w:rPr>
        <w:t>in the course of</w:t>
      </w:r>
      <w:proofErr w:type="gramEnd"/>
      <w:r w:rsidRPr="0003060E">
        <w:rPr>
          <w:rFonts w:asciiTheme="minorHAnsi" w:hAnsiTheme="minorHAnsi" w:cstheme="minorHAnsi"/>
        </w:rPr>
        <w:t xml:space="preserve"> arbitration. …</w:t>
      </w:r>
    </w:p>
    <w:p w14:paraId="3CDEF26F" w14:textId="14212AD7" w:rsidR="00961B22" w:rsidRPr="0003060E" w:rsidRDefault="00961B22" w:rsidP="00E76D41">
      <w:pPr>
        <w:spacing w:before="120" w:after="100" w:afterAutospacing="1"/>
        <w:ind w:left="720"/>
        <w:jc w:val="both"/>
        <w:rPr>
          <w:rFonts w:asciiTheme="minorHAnsi" w:hAnsiTheme="minorHAnsi" w:cstheme="minorHAnsi"/>
        </w:rPr>
      </w:pPr>
      <w:r w:rsidRPr="0003060E">
        <w:rPr>
          <w:rFonts w:asciiTheme="minorHAnsi" w:hAnsiTheme="minorHAnsi" w:cstheme="minorHAnsi"/>
        </w:rPr>
        <w:t xml:space="preserve">At an early stage of the proceeding, the arbitral tribunal must present to the parties a written summary of each party's position on the factual and legal grounds of the claim and </w:t>
      </w:r>
      <w:proofErr w:type="spellStart"/>
      <w:proofErr w:type="gramStart"/>
      <w:r w:rsidRPr="0003060E">
        <w:rPr>
          <w:rFonts w:asciiTheme="minorHAnsi" w:hAnsiTheme="minorHAnsi" w:cstheme="minorHAnsi"/>
        </w:rPr>
        <w:t>defense</w:t>
      </w:r>
      <w:proofErr w:type="spellEnd"/>
      <w:r w:rsidRPr="0003060E">
        <w:rPr>
          <w:rFonts w:asciiTheme="minorHAnsi" w:hAnsiTheme="minorHAnsi" w:cstheme="minorHAnsi"/>
        </w:rPr>
        <w:t>, and</w:t>
      </w:r>
      <w:proofErr w:type="gramEnd"/>
      <w:r w:rsidRPr="0003060E">
        <w:rPr>
          <w:rFonts w:asciiTheme="minorHAnsi" w:hAnsiTheme="minorHAnsi" w:cstheme="minorHAnsi"/>
        </w:rPr>
        <w:t xml:space="preserve"> provide the parties with an opportunity to comment. This allows the </w:t>
      </w:r>
      <w:r w:rsidRPr="0003060E">
        <w:rPr>
          <w:rFonts w:asciiTheme="minorHAnsi" w:hAnsiTheme="minorHAnsi" w:cstheme="minorHAnsi"/>
        </w:rPr>
        <w:lastRenderedPageBreak/>
        <w:t>arbitral tribunal to better understand the parties' positions and to identify the disputed issues at an early stage. …</w:t>
      </w:r>
    </w:p>
    <w:p w14:paraId="411C07FF" w14:textId="0C2FC2B1" w:rsidR="00961B22" w:rsidRPr="0003060E" w:rsidRDefault="00961B22" w:rsidP="00E76D41">
      <w:pPr>
        <w:spacing w:before="120" w:after="100" w:afterAutospacing="1"/>
        <w:ind w:left="720"/>
        <w:jc w:val="both"/>
        <w:rPr>
          <w:rFonts w:asciiTheme="minorHAnsi" w:hAnsiTheme="minorHAnsi" w:cstheme="minorHAnsi"/>
        </w:rPr>
      </w:pPr>
      <w:r w:rsidRPr="0003060E">
        <w:rPr>
          <w:rFonts w:asciiTheme="minorHAnsi" w:hAnsiTheme="minorHAnsi" w:cstheme="minorHAnsi"/>
        </w:rPr>
        <w:t>Before any evidentiary hearing, the arbitral tribunal must provide the parties with a written summary of the factual and legal issues it considers important and its preliminary views on those issues. The parties must be provided with an opportunity to comment. This enables the parties not only to find out about possible misunderstandings on the part of the arbitral tribunal, but also to specifically focus on the important issues in the subsequent written submissions and/or at an evidentiary hearing.”</w:t>
      </w:r>
    </w:p>
    <w:p w14:paraId="3110EE25" w14:textId="785DFB97" w:rsidR="00C83FF9" w:rsidRPr="0003060E" w:rsidRDefault="00961B22" w:rsidP="00E76D41">
      <w:pPr>
        <w:spacing w:before="120" w:after="100" w:afterAutospacing="1"/>
        <w:jc w:val="both"/>
        <w:rPr>
          <w:rFonts w:asciiTheme="minorHAnsi" w:hAnsiTheme="minorHAnsi" w:cstheme="minorHAnsi"/>
        </w:rPr>
      </w:pPr>
      <w:r w:rsidRPr="0003060E">
        <w:rPr>
          <w:rFonts w:asciiTheme="minorHAnsi" w:hAnsiTheme="minorHAnsi" w:cstheme="minorHAnsi"/>
        </w:rPr>
        <w:t xml:space="preserve">Again, however, it is unclear how often such Interactive Rules are being chosen by parties and their legal advisors. </w:t>
      </w:r>
      <w:r w:rsidR="0002795E" w:rsidRPr="0003060E">
        <w:rPr>
          <w:rFonts w:asciiTheme="minorHAnsi" w:hAnsiTheme="minorHAnsi" w:cstheme="minorHAnsi"/>
        </w:rPr>
        <w:t>Overall, t</w:t>
      </w:r>
      <w:r w:rsidRPr="0003060E">
        <w:rPr>
          <w:rFonts w:asciiTheme="minorHAnsi" w:hAnsiTheme="minorHAnsi" w:cstheme="minorHAnsi"/>
        </w:rPr>
        <w:t>he path dependence created by IBA instruments is likely to remain, even if not optimal in all respects for reducing costs and delays in IA.</w:t>
      </w:r>
    </w:p>
    <w:p w14:paraId="3CC807F6" w14:textId="2B1BEF22" w:rsidR="00C57D5E" w:rsidRPr="0003060E" w:rsidRDefault="00C57D5E" w:rsidP="00E76D41">
      <w:pPr>
        <w:spacing w:before="120"/>
        <w:jc w:val="both"/>
        <w:rPr>
          <w:rFonts w:asciiTheme="minorHAnsi" w:hAnsiTheme="minorHAnsi" w:cstheme="minorHAnsi"/>
          <w:b/>
          <w:bCs/>
        </w:rPr>
      </w:pPr>
      <w:r w:rsidRPr="0003060E">
        <w:rPr>
          <w:rFonts w:asciiTheme="minorHAnsi" w:hAnsiTheme="minorHAnsi" w:cstheme="minorHAnsi"/>
          <w:b/>
          <w:bCs/>
        </w:rPr>
        <w:t>4. The Fall of Arb-Med</w:t>
      </w:r>
    </w:p>
    <w:p w14:paraId="300E9ABA" w14:textId="3C0573DE" w:rsidR="00233651" w:rsidRPr="0003060E" w:rsidRDefault="005950E2" w:rsidP="00E76D41">
      <w:pPr>
        <w:spacing w:before="120"/>
        <w:jc w:val="both"/>
        <w:rPr>
          <w:rFonts w:asciiTheme="minorHAnsi" w:hAnsiTheme="minorHAnsi" w:cstheme="minorHAnsi"/>
        </w:rPr>
      </w:pPr>
      <w:r w:rsidRPr="0003060E">
        <w:rPr>
          <w:rFonts w:asciiTheme="minorHAnsi" w:hAnsiTheme="minorHAnsi" w:cstheme="minorHAnsi"/>
        </w:rPr>
        <w:t>To counter the formalisation of IA, underpinned arguably by</w:t>
      </w:r>
      <w:r w:rsidR="00C57D5E" w:rsidRPr="0003060E">
        <w:rPr>
          <w:rFonts w:asciiTheme="minorHAnsi" w:hAnsiTheme="minorHAnsi" w:cstheme="minorHAnsi"/>
        </w:rPr>
        <w:t xml:space="preserve"> </w:t>
      </w:r>
      <w:r w:rsidR="00536E53" w:rsidRPr="0003060E">
        <w:rPr>
          <w:rFonts w:asciiTheme="minorHAnsi" w:hAnsiTheme="minorHAnsi" w:cstheme="minorHAnsi"/>
        </w:rPr>
        <w:t xml:space="preserve">factors </w:t>
      </w:r>
      <w:r w:rsidRPr="0003060E">
        <w:rPr>
          <w:rFonts w:asciiTheme="minorHAnsi" w:hAnsiTheme="minorHAnsi" w:cstheme="minorHAnsi"/>
        </w:rPr>
        <w:t>such as those outlined above, one reaction has been to try to cross-fertilise the field by encouraging arbitrators</w:t>
      </w:r>
      <w:r w:rsidR="006135E3" w:rsidRPr="0003060E">
        <w:rPr>
          <w:rFonts w:asciiTheme="minorHAnsi" w:hAnsiTheme="minorHAnsi" w:cstheme="minorHAnsi"/>
        </w:rPr>
        <w:t xml:space="preserve"> themselves</w:t>
      </w:r>
      <w:r w:rsidRPr="0003060E">
        <w:rPr>
          <w:rFonts w:asciiTheme="minorHAnsi" w:hAnsiTheme="minorHAnsi" w:cstheme="minorHAnsi"/>
        </w:rPr>
        <w:t xml:space="preserve"> to mediate disputes (Arb-Med).</w:t>
      </w:r>
      <w:r w:rsidR="00CB54DB" w:rsidRPr="0003060E">
        <w:rPr>
          <w:rStyle w:val="FootnoteReference"/>
          <w:rFonts w:asciiTheme="minorHAnsi" w:hAnsiTheme="minorHAnsi" w:cstheme="minorHAnsi"/>
        </w:rPr>
        <w:footnoteReference w:id="77"/>
      </w:r>
      <w:r w:rsidRPr="0003060E">
        <w:rPr>
          <w:rFonts w:asciiTheme="minorHAnsi" w:hAnsiTheme="minorHAnsi" w:cstheme="minorHAnsi"/>
        </w:rPr>
        <w:t xml:space="preserve"> </w:t>
      </w:r>
      <w:r w:rsidR="00233651" w:rsidRPr="0003060E">
        <w:rPr>
          <w:rFonts w:asciiTheme="minorHAnsi" w:hAnsiTheme="minorHAnsi" w:cstheme="minorHAnsi"/>
        </w:rPr>
        <w:t>This hybrid process has recently seen some resurgence of interest, even in common law jurisdictions. The International Mediation Institute’s transnational 'Mixed Mode Taskforce' Working Group 4, for example, has been exploring and developing techniques for active settlement facilitation by arbitrators.</w:t>
      </w:r>
      <w:r w:rsidR="00233651" w:rsidRPr="0003060E">
        <w:rPr>
          <w:rStyle w:val="FootnoteReference"/>
          <w:rFonts w:asciiTheme="minorHAnsi" w:hAnsiTheme="minorHAnsi" w:cstheme="minorHAnsi"/>
        </w:rPr>
        <w:footnoteReference w:id="78"/>
      </w:r>
      <w:r w:rsidR="00233651" w:rsidRPr="0003060E">
        <w:rPr>
          <w:rFonts w:asciiTheme="minorHAnsi" w:hAnsiTheme="minorHAnsi" w:cstheme="minorHAnsi"/>
        </w:rPr>
        <w:t xml:space="preserve"> In the 2021 </w:t>
      </w:r>
      <w:r w:rsidR="0057078B" w:rsidRPr="0003060E">
        <w:rPr>
          <w:rFonts w:asciiTheme="minorHAnsi" w:hAnsiTheme="minorHAnsi" w:cstheme="minorHAnsi"/>
        </w:rPr>
        <w:t>Queen Mary University of London (QMUL) /</w:t>
      </w:r>
      <w:r w:rsidR="00233651" w:rsidRPr="0003060E">
        <w:rPr>
          <w:rFonts w:asciiTheme="minorHAnsi" w:hAnsiTheme="minorHAnsi" w:cstheme="minorHAnsi"/>
        </w:rPr>
        <w:t xml:space="preserve"> Pinsent Masons survey, furthermore, some interviewees asked about causes of inefficiencies in international construction arbitration suggested that “arbitrators should take a more proactive approach to managing cases, for example by focusing counsel’s minds on key issues before the evidentiary hearing”.</w:t>
      </w:r>
      <w:r w:rsidR="00233651" w:rsidRPr="0003060E">
        <w:rPr>
          <w:rStyle w:val="FootnoteReference"/>
          <w:rFonts w:asciiTheme="minorHAnsi" w:hAnsiTheme="minorHAnsi" w:cstheme="minorHAnsi"/>
        </w:rPr>
        <w:footnoteReference w:id="79"/>
      </w:r>
    </w:p>
    <w:p w14:paraId="5E86EC90" w14:textId="515F0F49" w:rsidR="00CB54DB" w:rsidRPr="0003060E" w:rsidRDefault="00233651" w:rsidP="00E76D41">
      <w:pPr>
        <w:spacing w:before="120"/>
        <w:jc w:val="both"/>
        <w:rPr>
          <w:rFonts w:asciiTheme="minorHAnsi" w:hAnsiTheme="minorHAnsi" w:cstheme="minorHAnsi"/>
        </w:rPr>
      </w:pPr>
      <w:r w:rsidRPr="0003060E">
        <w:rPr>
          <w:rFonts w:asciiTheme="minorHAnsi" w:hAnsiTheme="minorHAnsi" w:cstheme="minorHAnsi"/>
        </w:rPr>
        <w:t xml:space="preserve">However, formal Arb-Med has had a chequered history. </w:t>
      </w:r>
      <w:r w:rsidR="00CB54DB" w:rsidRPr="0003060E">
        <w:rPr>
          <w:rFonts w:asciiTheme="minorHAnsi" w:hAnsiTheme="minorHAnsi" w:cstheme="minorHAnsi"/>
        </w:rPr>
        <w:t>The idea started spreading</w:t>
      </w:r>
      <w:r w:rsidR="006135E3" w:rsidRPr="0003060E">
        <w:rPr>
          <w:rFonts w:asciiTheme="minorHAnsi" w:hAnsiTheme="minorHAnsi" w:cstheme="minorHAnsi"/>
        </w:rPr>
        <w:t xml:space="preserve"> around IA circles</w:t>
      </w:r>
      <w:r w:rsidR="00CB54DB" w:rsidRPr="0003060E">
        <w:rPr>
          <w:rFonts w:asciiTheme="minorHAnsi" w:hAnsiTheme="minorHAnsi" w:cstheme="minorHAnsi"/>
        </w:rPr>
        <w:t xml:space="preserve"> in the early 1990s</w:t>
      </w:r>
      <w:r w:rsidR="006135E3" w:rsidRPr="0003060E">
        <w:rPr>
          <w:rFonts w:asciiTheme="minorHAnsi" w:hAnsiTheme="minorHAnsi" w:cstheme="minorHAnsi"/>
        </w:rPr>
        <w:t>. It was</w:t>
      </w:r>
      <w:r w:rsidR="00CB54DB" w:rsidRPr="0003060E">
        <w:rPr>
          <w:rFonts w:asciiTheme="minorHAnsi" w:hAnsiTheme="minorHAnsi" w:cstheme="minorHAnsi"/>
        </w:rPr>
        <w:t xml:space="preserve"> inspired by the civil law tradition particularly in Germany</w:t>
      </w:r>
      <w:r w:rsidR="006135E3" w:rsidRPr="0003060E">
        <w:rPr>
          <w:rFonts w:asciiTheme="minorHAnsi" w:hAnsiTheme="minorHAnsi" w:cstheme="minorHAnsi"/>
        </w:rPr>
        <w:t xml:space="preserve">, </w:t>
      </w:r>
      <w:proofErr w:type="gramStart"/>
      <w:r w:rsidR="006135E3" w:rsidRPr="0003060E">
        <w:rPr>
          <w:rFonts w:asciiTheme="minorHAnsi" w:hAnsiTheme="minorHAnsi" w:cstheme="minorHAnsi"/>
        </w:rPr>
        <w:t>Austria</w:t>
      </w:r>
      <w:proofErr w:type="gramEnd"/>
      <w:r w:rsidR="006135E3" w:rsidRPr="0003060E">
        <w:rPr>
          <w:rFonts w:asciiTheme="minorHAnsi" w:hAnsiTheme="minorHAnsi" w:cstheme="minorHAnsi"/>
        </w:rPr>
        <w:t xml:space="preserve"> and</w:t>
      </w:r>
      <w:r w:rsidR="00CB54DB" w:rsidRPr="0003060E">
        <w:rPr>
          <w:rFonts w:asciiTheme="minorHAnsi" w:hAnsiTheme="minorHAnsi" w:cstheme="minorHAnsi"/>
        </w:rPr>
        <w:t xml:space="preserve"> Switzerland</w:t>
      </w:r>
      <w:r w:rsidR="006135E3" w:rsidRPr="0003060E">
        <w:rPr>
          <w:rFonts w:asciiTheme="minorHAnsi" w:hAnsiTheme="minorHAnsi" w:cstheme="minorHAnsi"/>
        </w:rPr>
        <w:t>, in which</w:t>
      </w:r>
      <w:r w:rsidR="00CB54DB" w:rsidRPr="0003060E">
        <w:rPr>
          <w:rFonts w:asciiTheme="minorHAnsi" w:hAnsiTheme="minorHAnsi" w:cstheme="minorHAnsi"/>
        </w:rPr>
        <w:t xml:space="preserve"> judges themselves are expected to actively promote settlement of proceedings</w:t>
      </w:r>
      <w:r w:rsidR="006135E3" w:rsidRPr="0003060E">
        <w:rPr>
          <w:rFonts w:asciiTheme="minorHAnsi" w:hAnsiTheme="minorHAnsi" w:cstheme="minorHAnsi"/>
        </w:rPr>
        <w:t xml:space="preserve"> – </w:t>
      </w:r>
      <w:r w:rsidR="00CB54DB" w:rsidRPr="0003060E">
        <w:rPr>
          <w:rFonts w:asciiTheme="minorHAnsi" w:hAnsiTheme="minorHAnsi" w:cstheme="minorHAnsi"/>
        </w:rPr>
        <w:t>albeit in open session</w:t>
      </w:r>
      <w:r w:rsidR="006135E3" w:rsidRPr="0003060E">
        <w:rPr>
          <w:rFonts w:asciiTheme="minorHAnsi" w:hAnsiTheme="minorHAnsi" w:cstheme="minorHAnsi"/>
        </w:rPr>
        <w:t>,</w:t>
      </w:r>
      <w:r w:rsidR="00CB54DB" w:rsidRPr="0003060E">
        <w:rPr>
          <w:rFonts w:asciiTheme="minorHAnsi" w:hAnsiTheme="minorHAnsi" w:cstheme="minorHAnsi"/>
        </w:rPr>
        <w:t xml:space="preserve"> with all parties present.</w:t>
      </w:r>
      <w:r w:rsidR="006135E3" w:rsidRPr="0003060E">
        <w:rPr>
          <w:rFonts w:asciiTheme="minorHAnsi" w:hAnsiTheme="minorHAnsi" w:cstheme="minorHAnsi"/>
        </w:rPr>
        <w:t xml:space="preserve"> A</w:t>
      </w:r>
      <w:r w:rsidR="00CB54DB" w:rsidRPr="0003060E">
        <w:rPr>
          <w:rFonts w:asciiTheme="minorHAnsi" w:hAnsiTheme="minorHAnsi" w:cstheme="minorHAnsi"/>
        </w:rPr>
        <w:t>rbitrators</w:t>
      </w:r>
      <w:r w:rsidR="006135E3" w:rsidRPr="0003060E">
        <w:rPr>
          <w:rFonts w:asciiTheme="minorHAnsi" w:hAnsiTheme="minorHAnsi" w:cstheme="minorHAnsi"/>
        </w:rPr>
        <w:t xml:space="preserve"> from those jurisdictions</w:t>
      </w:r>
      <w:r w:rsidR="00CB54DB" w:rsidRPr="0003060E">
        <w:rPr>
          <w:rFonts w:asciiTheme="minorHAnsi" w:hAnsiTheme="minorHAnsi" w:cstheme="minorHAnsi"/>
        </w:rPr>
        <w:t xml:space="preserve">, </w:t>
      </w:r>
      <w:proofErr w:type="gramStart"/>
      <w:r w:rsidR="006135E3" w:rsidRPr="0003060E">
        <w:rPr>
          <w:rFonts w:asciiTheme="minorHAnsi" w:hAnsiTheme="minorHAnsi" w:cstheme="minorHAnsi"/>
        </w:rPr>
        <w:t>furthermore</w:t>
      </w:r>
      <w:proofErr w:type="gramEnd"/>
      <w:r w:rsidR="006135E3" w:rsidRPr="0003060E">
        <w:rPr>
          <w:rFonts w:asciiTheme="minorHAnsi" w:hAnsiTheme="minorHAnsi" w:cstheme="minorHAnsi"/>
        </w:rPr>
        <w:t xml:space="preserve"> often also</w:t>
      </w:r>
      <w:r w:rsidR="00CB54DB" w:rsidRPr="0003060E">
        <w:rPr>
          <w:rFonts w:asciiTheme="minorHAnsi" w:hAnsiTheme="minorHAnsi" w:cstheme="minorHAnsi"/>
        </w:rPr>
        <w:t xml:space="preserve"> drawn from among professors, extended this mentality to domestic and then IA proceedings. </w:t>
      </w:r>
    </w:p>
    <w:p w14:paraId="78485E53" w14:textId="28CF0EC0" w:rsidR="00C57D5E" w:rsidRPr="0003060E" w:rsidRDefault="00CB54DB" w:rsidP="00E76D41">
      <w:pPr>
        <w:spacing w:before="120"/>
        <w:jc w:val="both"/>
        <w:rPr>
          <w:rFonts w:asciiTheme="minorHAnsi" w:hAnsiTheme="minorHAnsi" w:cstheme="minorHAnsi"/>
        </w:rPr>
      </w:pPr>
      <w:r w:rsidRPr="0003060E">
        <w:rPr>
          <w:rFonts w:asciiTheme="minorHAnsi" w:hAnsiTheme="minorHAnsi" w:cstheme="minorHAnsi"/>
        </w:rPr>
        <w:lastRenderedPageBreak/>
        <w:t>In 1990, New South Wales experimented by amending its then (not yet ML based) Commercial Arbitration Act (s27) to allow parties to permit Arb-Med. Yet this innovation was too ahead of its time, and seemingly generated little uptake – or case law.</w:t>
      </w:r>
      <w:r w:rsidR="005F3295" w:rsidRPr="0003060E">
        <w:rPr>
          <w:rStyle w:val="FootnoteReference"/>
          <w:rFonts w:asciiTheme="minorHAnsi" w:hAnsiTheme="minorHAnsi" w:cstheme="minorHAnsi"/>
        </w:rPr>
        <w:footnoteReference w:id="80"/>
      </w:r>
      <w:r w:rsidRPr="0003060E">
        <w:rPr>
          <w:rFonts w:asciiTheme="minorHAnsi" w:hAnsiTheme="minorHAnsi" w:cstheme="minorHAnsi"/>
        </w:rPr>
        <w:t xml:space="preserve"> For legal advisors at the time, this Arb-Med procedure seems to have created too much of a perceived conflict with the view of an adjudicator as more of a passive referee among the parties and their advocates, rather than a neutral professional trying to help the parties resolve their dispute by the most appropriate means. A</w:t>
      </w:r>
      <w:r w:rsidR="005F3295" w:rsidRPr="0003060E">
        <w:rPr>
          <w:rFonts w:asciiTheme="minorHAnsi" w:hAnsiTheme="minorHAnsi" w:cstheme="minorHAnsi"/>
        </w:rPr>
        <w:t>rbitration was also not widely practiced, especially cross-border. P</w:t>
      </w:r>
      <w:r w:rsidRPr="0003060E">
        <w:rPr>
          <w:rFonts w:asciiTheme="minorHAnsi" w:hAnsiTheme="minorHAnsi" w:cstheme="minorHAnsi"/>
        </w:rPr>
        <w:t>ure or separate mediation</w:t>
      </w:r>
      <w:r w:rsidR="005F3295" w:rsidRPr="0003060E">
        <w:rPr>
          <w:rFonts w:asciiTheme="minorHAnsi" w:hAnsiTheme="minorHAnsi" w:cstheme="minorHAnsi"/>
        </w:rPr>
        <w:t>,</w:t>
      </w:r>
      <w:r w:rsidRPr="0003060E">
        <w:rPr>
          <w:rFonts w:asciiTheme="minorHAnsi" w:hAnsiTheme="minorHAnsi" w:cstheme="minorHAnsi"/>
        </w:rPr>
        <w:t xml:space="preserve"> itself</w:t>
      </w:r>
      <w:r w:rsidR="005F3295" w:rsidRPr="0003060E">
        <w:rPr>
          <w:rFonts w:asciiTheme="minorHAnsi" w:hAnsiTheme="minorHAnsi" w:cstheme="minorHAnsi"/>
        </w:rPr>
        <w:t xml:space="preserve">, was </w:t>
      </w:r>
      <w:r w:rsidRPr="0003060E">
        <w:rPr>
          <w:rFonts w:asciiTheme="minorHAnsi" w:hAnsiTheme="minorHAnsi" w:cstheme="minorHAnsi"/>
        </w:rPr>
        <w:t>only starting to gain traction in Australia’s dispute resolution landscape</w:t>
      </w:r>
      <w:r w:rsidR="005F3295" w:rsidRPr="0003060E">
        <w:rPr>
          <w:rFonts w:asciiTheme="minorHAnsi" w:hAnsiTheme="minorHAnsi" w:cstheme="minorHAnsi"/>
        </w:rPr>
        <w:t>.</w:t>
      </w:r>
      <w:r w:rsidR="005F3295" w:rsidRPr="0003060E">
        <w:rPr>
          <w:rStyle w:val="FootnoteReference"/>
          <w:rFonts w:asciiTheme="minorHAnsi" w:hAnsiTheme="minorHAnsi" w:cstheme="minorHAnsi"/>
        </w:rPr>
        <w:footnoteReference w:id="81"/>
      </w:r>
    </w:p>
    <w:p w14:paraId="0D2D0049" w14:textId="186CA6FE" w:rsidR="005F3295" w:rsidRPr="0003060E" w:rsidRDefault="00060BA6" w:rsidP="00E76D41">
      <w:pPr>
        <w:spacing w:before="120"/>
        <w:jc w:val="both"/>
        <w:rPr>
          <w:rFonts w:asciiTheme="minorHAnsi" w:hAnsiTheme="minorHAnsi" w:cstheme="minorHAnsi"/>
        </w:rPr>
      </w:pPr>
      <w:r w:rsidRPr="0003060E">
        <w:rPr>
          <w:rFonts w:asciiTheme="minorHAnsi" w:hAnsiTheme="minorHAnsi" w:cstheme="minorHAnsi"/>
        </w:rPr>
        <w:t>Around the same</w:t>
      </w:r>
      <w:r w:rsidR="005F3295" w:rsidRPr="0003060E">
        <w:rPr>
          <w:rFonts w:asciiTheme="minorHAnsi" w:hAnsiTheme="minorHAnsi" w:cstheme="minorHAnsi"/>
        </w:rPr>
        <w:t xml:space="preserve"> time, Hong Kong experimented by adding to its Arbitration Ordinanc</w:t>
      </w:r>
      <w:r w:rsidR="00156D23" w:rsidRPr="0003060E">
        <w:rPr>
          <w:rFonts w:asciiTheme="minorHAnsi" w:hAnsiTheme="minorHAnsi" w:cstheme="minorHAnsi"/>
        </w:rPr>
        <w:t>e (</w:t>
      </w:r>
      <w:r w:rsidR="00C677EC" w:rsidRPr="0003060E">
        <w:rPr>
          <w:rFonts w:asciiTheme="minorHAnsi" w:hAnsiTheme="minorHAnsi" w:cstheme="minorHAnsi"/>
        </w:rPr>
        <w:t>A</w:t>
      </w:r>
      <w:r w:rsidR="00C5421D" w:rsidRPr="0003060E">
        <w:rPr>
          <w:rFonts w:asciiTheme="minorHAnsi" w:hAnsiTheme="minorHAnsi" w:cstheme="minorHAnsi"/>
        </w:rPr>
        <w:t>rts 32 and 33)</w:t>
      </w:r>
      <w:r w:rsidR="00233651" w:rsidRPr="0003060E">
        <w:rPr>
          <w:rFonts w:asciiTheme="minorHAnsi" w:hAnsiTheme="minorHAnsi" w:cstheme="minorHAnsi"/>
        </w:rPr>
        <w:t xml:space="preserve"> </w:t>
      </w:r>
      <w:r w:rsidR="005F3295" w:rsidRPr="0003060E">
        <w:rPr>
          <w:rFonts w:asciiTheme="minorHAnsi" w:hAnsiTheme="minorHAnsi" w:cstheme="minorHAnsi"/>
        </w:rPr>
        <w:t>enacted in 1989 based on the ML for international arbitrations</w:t>
      </w:r>
      <w:r w:rsidR="00233651" w:rsidRPr="0003060E">
        <w:rPr>
          <w:rFonts w:asciiTheme="minorHAnsi" w:hAnsiTheme="minorHAnsi" w:cstheme="minorHAnsi"/>
        </w:rPr>
        <w:t>,</w:t>
      </w:r>
      <w:r w:rsidR="005F3295" w:rsidRPr="0003060E">
        <w:rPr>
          <w:rFonts w:asciiTheme="minorHAnsi" w:hAnsiTheme="minorHAnsi" w:cstheme="minorHAnsi"/>
        </w:rPr>
        <w:t xml:space="preserve"> a provision that allowed </w:t>
      </w:r>
      <w:r w:rsidR="00233651" w:rsidRPr="0003060E">
        <w:rPr>
          <w:rFonts w:asciiTheme="minorHAnsi" w:hAnsiTheme="minorHAnsi" w:cstheme="minorHAnsi"/>
        </w:rPr>
        <w:t xml:space="preserve">for </w:t>
      </w:r>
      <w:r w:rsidR="005F3295" w:rsidRPr="0003060E">
        <w:rPr>
          <w:rFonts w:asciiTheme="minorHAnsi" w:hAnsiTheme="minorHAnsi" w:cstheme="minorHAnsi"/>
        </w:rPr>
        <w:t xml:space="preserve">Arb-Med. It required arbitrators whose settlement attempts failed to disclose to the other party, before reverting to their role as arbitrators including finalising the award, any information disclosed in private mediation sessions with the other parties. The aim was to address concerns about such “caucusing” for </w:t>
      </w:r>
      <w:r w:rsidR="006135E3" w:rsidRPr="0003060E">
        <w:rPr>
          <w:rFonts w:asciiTheme="minorHAnsi" w:hAnsiTheme="minorHAnsi" w:cstheme="minorHAnsi"/>
        </w:rPr>
        <w:t xml:space="preserve">two sets of </w:t>
      </w:r>
      <w:r w:rsidR="005F3295" w:rsidRPr="0003060E">
        <w:rPr>
          <w:rFonts w:asciiTheme="minorHAnsi" w:hAnsiTheme="minorHAnsi" w:cstheme="minorHAnsi"/>
        </w:rPr>
        <w:t>principles fundamental, and therefore mandatory, to the ML-based regime</w:t>
      </w:r>
      <w:r w:rsidR="006135E3" w:rsidRPr="0003060E">
        <w:rPr>
          <w:rFonts w:asciiTheme="minorHAnsi" w:hAnsiTheme="minorHAnsi" w:cstheme="minorHAnsi"/>
        </w:rPr>
        <w:t>:</w:t>
      </w:r>
      <w:r w:rsidR="005F3295" w:rsidRPr="0003060E">
        <w:rPr>
          <w:rFonts w:asciiTheme="minorHAnsi" w:hAnsiTheme="minorHAnsi" w:cstheme="minorHAnsi"/>
        </w:rPr>
        <w:t xml:space="preserve"> equal treatment of the parties and a full (</w:t>
      </w:r>
      <w:proofErr w:type="spellStart"/>
      <w:proofErr w:type="gramStart"/>
      <w:r w:rsidR="005F3295" w:rsidRPr="0003060E">
        <w:rPr>
          <w:rFonts w:asciiTheme="minorHAnsi" w:hAnsiTheme="minorHAnsi" w:cstheme="minorHAnsi"/>
        </w:rPr>
        <w:t>ie</w:t>
      </w:r>
      <w:proofErr w:type="spellEnd"/>
      <w:proofErr w:type="gramEnd"/>
      <w:r w:rsidR="005F3295" w:rsidRPr="0003060E">
        <w:rPr>
          <w:rFonts w:asciiTheme="minorHAnsi" w:hAnsiTheme="minorHAnsi" w:cstheme="minorHAnsi"/>
        </w:rPr>
        <w:t xml:space="preserve"> reasonable) opportunity to be heard (Art 20)</w:t>
      </w:r>
      <w:r w:rsidR="00A474CA" w:rsidRPr="0003060E">
        <w:rPr>
          <w:rFonts w:asciiTheme="minorHAnsi" w:hAnsiTheme="minorHAnsi" w:cstheme="minorHAnsi"/>
        </w:rPr>
        <w:t>, and independence and</w:t>
      </w:r>
      <w:r w:rsidR="005F3295" w:rsidRPr="0003060E">
        <w:rPr>
          <w:rFonts w:asciiTheme="minorHAnsi" w:hAnsiTheme="minorHAnsi" w:cstheme="minorHAnsi"/>
        </w:rPr>
        <w:t xml:space="preserve"> impartiality of arbitrators (Art 11). This provision was replicated in Singapore’s International Arbitration Act enacted in 1994, also as an add-on to the ML template. </w:t>
      </w:r>
    </w:p>
    <w:p w14:paraId="1D275686" w14:textId="77777777" w:rsidR="006135E3" w:rsidRPr="0003060E" w:rsidRDefault="005F3295" w:rsidP="00E76D41">
      <w:pPr>
        <w:spacing w:before="120"/>
        <w:jc w:val="both"/>
        <w:rPr>
          <w:rFonts w:asciiTheme="minorHAnsi" w:hAnsiTheme="minorHAnsi" w:cstheme="minorHAnsi"/>
        </w:rPr>
      </w:pPr>
      <w:r w:rsidRPr="0003060E">
        <w:rPr>
          <w:rFonts w:asciiTheme="minorHAnsi" w:hAnsiTheme="minorHAnsi" w:cstheme="minorHAnsi"/>
        </w:rPr>
        <w:t xml:space="preserve">However, it </w:t>
      </w:r>
      <w:r w:rsidR="00060BA6" w:rsidRPr="0003060E">
        <w:rPr>
          <w:rFonts w:asciiTheme="minorHAnsi" w:hAnsiTheme="minorHAnsi" w:cstheme="minorHAnsi"/>
        </w:rPr>
        <w:t>was hardly ever</w:t>
      </w:r>
      <w:r w:rsidRPr="0003060E">
        <w:rPr>
          <w:rFonts w:asciiTheme="minorHAnsi" w:hAnsiTheme="minorHAnsi" w:cstheme="minorHAnsi"/>
        </w:rPr>
        <w:t xml:space="preserve"> used in practice, in either jurisdiction</w:t>
      </w:r>
      <w:r w:rsidR="006135E3" w:rsidRPr="0003060E">
        <w:rPr>
          <w:rFonts w:asciiTheme="minorHAnsi" w:hAnsiTheme="minorHAnsi" w:cstheme="minorHAnsi"/>
        </w:rPr>
        <w:t>. This seems to have remained so</w:t>
      </w:r>
      <w:r w:rsidR="00A474CA" w:rsidRPr="0003060E">
        <w:rPr>
          <w:rFonts w:asciiTheme="minorHAnsi" w:hAnsiTheme="minorHAnsi" w:cstheme="minorHAnsi"/>
        </w:rPr>
        <w:t xml:space="preserve"> even after the Hong Kong Court of Appeal overturned a first-instance judgment that had refused enforcement of a mainland Chinese arbitration award due to public policy objections related to a failed mediation attempt in Xian</w:t>
      </w:r>
      <w:r w:rsidRPr="0003060E">
        <w:rPr>
          <w:rFonts w:asciiTheme="minorHAnsi" w:hAnsiTheme="minorHAnsi" w:cstheme="minorHAnsi"/>
        </w:rPr>
        <w:t>.</w:t>
      </w:r>
      <w:r w:rsidR="00A474CA" w:rsidRPr="0003060E">
        <w:rPr>
          <w:rStyle w:val="FootnoteReference"/>
          <w:rFonts w:asciiTheme="minorHAnsi" w:hAnsiTheme="minorHAnsi" w:cstheme="minorHAnsi"/>
        </w:rPr>
        <w:footnoteReference w:id="82"/>
      </w:r>
      <w:r w:rsidRPr="0003060E">
        <w:rPr>
          <w:rFonts w:asciiTheme="minorHAnsi" w:hAnsiTheme="minorHAnsi" w:cstheme="minorHAnsi"/>
        </w:rPr>
        <w:t xml:space="preserve"> Legal advisors and parties seem to have seen the mandatory post-mediation disclosure as undermining the </w:t>
      </w:r>
      <w:r w:rsidR="008965C6" w:rsidRPr="0003060E">
        <w:rPr>
          <w:rFonts w:asciiTheme="minorHAnsi" w:hAnsiTheme="minorHAnsi" w:cstheme="minorHAnsi"/>
        </w:rPr>
        <w:t xml:space="preserve">whole point of sharing confidential information in private sessions during the tribunal’s caucusing attempts. </w:t>
      </w:r>
    </w:p>
    <w:p w14:paraId="09A27F1E" w14:textId="3266BBDB" w:rsidR="00CA77CE" w:rsidRPr="0003060E" w:rsidRDefault="008965C6" w:rsidP="00E76D41">
      <w:pPr>
        <w:spacing w:before="120"/>
        <w:jc w:val="both"/>
        <w:rPr>
          <w:rFonts w:asciiTheme="minorHAnsi" w:hAnsiTheme="minorHAnsi" w:cstheme="minorHAnsi"/>
        </w:rPr>
      </w:pPr>
      <w:r w:rsidRPr="0003060E">
        <w:rPr>
          <w:rFonts w:asciiTheme="minorHAnsi" w:hAnsiTheme="minorHAnsi" w:cstheme="minorHAnsi"/>
        </w:rPr>
        <w:t>This lack of impact eventually led Singapore to propose an extra model, for parties to adopt</w:t>
      </w:r>
      <w:r w:rsidR="007B6A25" w:rsidRPr="0003060E">
        <w:rPr>
          <w:rFonts w:asciiTheme="minorHAnsi" w:hAnsiTheme="minorHAnsi" w:cstheme="minorHAnsi"/>
        </w:rPr>
        <w:t>. It</w:t>
      </w:r>
      <w:r w:rsidRPr="0003060E">
        <w:rPr>
          <w:rFonts w:asciiTheme="minorHAnsi" w:hAnsiTheme="minorHAnsi" w:cstheme="minorHAnsi"/>
        </w:rPr>
        <w:t xml:space="preserve"> involved instead separate arbitrators and mediators</w:t>
      </w:r>
      <w:r w:rsidR="007B6A25" w:rsidRPr="0003060E">
        <w:rPr>
          <w:rFonts w:asciiTheme="minorHAnsi" w:hAnsiTheme="minorHAnsi" w:cstheme="minorHAnsi"/>
        </w:rPr>
        <w:t>,</w:t>
      </w:r>
      <w:r w:rsidRPr="0003060E">
        <w:rPr>
          <w:rFonts w:asciiTheme="minorHAnsi" w:hAnsiTheme="minorHAnsi" w:cstheme="minorHAnsi"/>
        </w:rPr>
        <w:t xml:space="preserve"> even though this creates extra costs and delays compared to having the same person(s) playing both roles as under the statutory scheme. Under an Arb-Med-Arb Protocol</w:t>
      </w:r>
      <w:r w:rsidR="00233651" w:rsidRPr="0003060E">
        <w:rPr>
          <w:rFonts w:asciiTheme="minorHAnsi" w:hAnsiTheme="minorHAnsi" w:cstheme="minorHAnsi"/>
        </w:rPr>
        <w:t xml:space="preserve"> launched in </w:t>
      </w:r>
      <w:r w:rsidR="00290682" w:rsidRPr="0003060E">
        <w:rPr>
          <w:rFonts w:asciiTheme="minorHAnsi" w:hAnsiTheme="minorHAnsi" w:cstheme="minorHAnsi"/>
        </w:rPr>
        <w:t>November</w:t>
      </w:r>
      <w:r w:rsidR="00233651" w:rsidRPr="0003060E">
        <w:rPr>
          <w:rFonts w:asciiTheme="minorHAnsi" w:hAnsiTheme="minorHAnsi" w:cstheme="minorHAnsi"/>
        </w:rPr>
        <w:t xml:space="preserve"> 2014 together with the Singapore International Mediation Centre (SIMC)</w:t>
      </w:r>
      <w:r w:rsidRPr="0003060E">
        <w:rPr>
          <w:rFonts w:asciiTheme="minorHAnsi" w:hAnsiTheme="minorHAnsi" w:cstheme="minorHAnsi"/>
        </w:rPr>
        <w:t>,</w:t>
      </w:r>
      <w:r w:rsidR="00233651" w:rsidRPr="0003060E">
        <w:rPr>
          <w:rStyle w:val="FootnoteReference"/>
          <w:rFonts w:asciiTheme="minorHAnsi" w:hAnsiTheme="minorHAnsi" w:cstheme="minorHAnsi"/>
        </w:rPr>
        <w:footnoteReference w:id="83"/>
      </w:r>
      <w:r w:rsidRPr="0003060E">
        <w:rPr>
          <w:rFonts w:asciiTheme="minorHAnsi" w:hAnsiTheme="minorHAnsi" w:cstheme="minorHAnsi"/>
        </w:rPr>
        <w:t xml:space="preserve"> </w:t>
      </w:r>
      <w:proofErr w:type="gramStart"/>
      <w:r w:rsidRPr="0003060E">
        <w:rPr>
          <w:rFonts w:asciiTheme="minorHAnsi" w:hAnsiTheme="minorHAnsi" w:cstheme="minorHAnsi"/>
        </w:rPr>
        <w:t>parties</w:t>
      </w:r>
      <w:proofErr w:type="gramEnd"/>
      <w:r w:rsidRPr="0003060E">
        <w:rPr>
          <w:rFonts w:asciiTheme="minorHAnsi" w:hAnsiTheme="minorHAnsi" w:cstheme="minorHAnsi"/>
        </w:rPr>
        <w:t xml:space="preserve"> consent to starting an arbitration with SIAC, which is then immediately suspended so the parties can commence a separate mediation through </w:t>
      </w:r>
      <w:r w:rsidR="00233651" w:rsidRPr="0003060E">
        <w:rPr>
          <w:rFonts w:asciiTheme="minorHAnsi" w:hAnsiTheme="minorHAnsi" w:cstheme="minorHAnsi"/>
        </w:rPr>
        <w:t>SIMC</w:t>
      </w:r>
      <w:r w:rsidRPr="0003060E">
        <w:rPr>
          <w:rFonts w:asciiTheme="minorHAnsi" w:hAnsiTheme="minorHAnsi" w:cstheme="minorHAnsi"/>
        </w:rPr>
        <w:t xml:space="preserve">. If </w:t>
      </w:r>
      <w:r w:rsidR="00233651" w:rsidRPr="0003060E">
        <w:rPr>
          <w:rFonts w:asciiTheme="minorHAnsi" w:hAnsiTheme="minorHAnsi" w:cstheme="minorHAnsi"/>
        </w:rPr>
        <w:t xml:space="preserve">this </w:t>
      </w:r>
      <w:r w:rsidRPr="0003060E">
        <w:rPr>
          <w:rFonts w:asciiTheme="minorHAnsi" w:hAnsiTheme="minorHAnsi" w:cstheme="minorHAnsi"/>
        </w:rPr>
        <w:t xml:space="preserve">mediation succeeds, the matter goes back to SIAC so its arbitrators can issue a consent award on the agreed settlement terms. If unsuccessful, the arbitrators resume </w:t>
      </w:r>
      <w:r w:rsidR="00504110" w:rsidRPr="0003060E">
        <w:rPr>
          <w:rFonts w:asciiTheme="minorHAnsi" w:hAnsiTheme="minorHAnsi" w:cstheme="minorHAnsi"/>
        </w:rPr>
        <w:t xml:space="preserve">proceedings and issue an award. </w:t>
      </w:r>
      <w:r w:rsidR="00290682" w:rsidRPr="0003060E">
        <w:rPr>
          <w:rFonts w:asciiTheme="minorHAnsi" w:hAnsiTheme="minorHAnsi" w:cstheme="minorHAnsi"/>
        </w:rPr>
        <w:t xml:space="preserve">From the SIMC’s launch until 2018 ‘approximately one-fifth of more than fifty mediation that it has administered used the AMA </w:t>
      </w:r>
      <w:r w:rsidR="00290682" w:rsidRPr="0003060E">
        <w:rPr>
          <w:rFonts w:asciiTheme="minorHAnsi" w:hAnsiTheme="minorHAnsi" w:cstheme="minorHAnsi"/>
        </w:rPr>
        <w:lastRenderedPageBreak/>
        <w:t>Protocol</w:t>
      </w:r>
      <w:r w:rsidR="003B0DF7" w:rsidRPr="0003060E">
        <w:rPr>
          <w:rFonts w:asciiTheme="minorHAnsi" w:hAnsiTheme="minorHAnsi" w:cstheme="minorHAnsi"/>
        </w:rPr>
        <w:t>’,</w:t>
      </w:r>
      <w:r w:rsidR="00CA77CE" w:rsidRPr="0003060E">
        <w:rPr>
          <w:rStyle w:val="FootnoteReference"/>
          <w:rFonts w:asciiTheme="minorHAnsi" w:hAnsiTheme="minorHAnsi" w:cstheme="minorHAnsi"/>
        </w:rPr>
        <w:footnoteReference w:id="84"/>
      </w:r>
      <w:r w:rsidR="00233651" w:rsidRPr="0003060E">
        <w:rPr>
          <w:rFonts w:asciiTheme="minorHAnsi" w:hAnsiTheme="minorHAnsi" w:cstheme="minorHAnsi"/>
        </w:rPr>
        <w:t xml:space="preserve"> indicating some but not overwhelming success.</w:t>
      </w:r>
      <w:r w:rsidR="003B0DF7" w:rsidRPr="0003060E">
        <w:rPr>
          <w:rFonts w:asciiTheme="minorHAnsi" w:hAnsiTheme="minorHAnsi" w:cstheme="minorHAnsi"/>
        </w:rPr>
        <w:t xml:space="preserve"> (Nonetheless, in 2023 the SIMC and SICC launched a similar Litigation-Mediation-Litigation Protocol.</w:t>
      </w:r>
      <w:r w:rsidR="003B0DF7" w:rsidRPr="0003060E">
        <w:rPr>
          <w:rStyle w:val="FootnoteReference"/>
          <w:rFonts w:asciiTheme="minorHAnsi" w:hAnsiTheme="minorHAnsi" w:cstheme="minorHAnsi"/>
        </w:rPr>
        <w:footnoteReference w:id="85"/>
      </w:r>
      <w:r w:rsidR="003B0DF7" w:rsidRPr="0003060E">
        <w:rPr>
          <w:rFonts w:asciiTheme="minorHAnsi" w:hAnsiTheme="minorHAnsi" w:cstheme="minorHAnsi"/>
        </w:rPr>
        <w:t>)</w:t>
      </w:r>
    </w:p>
    <w:p w14:paraId="27724C0C" w14:textId="75BBA62D" w:rsidR="00CA77CE" w:rsidRPr="0003060E" w:rsidRDefault="007B6A25" w:rsidP="00E76D41">
      <w:pPr>
        <w:spacing w:before="120"/>
        <w:jc w:val="both"/>
        <w:rPr>
          <w:rFonts w:asciiTheme="minorHAnsi" w:hAnsiTheme="minorHAnsi" w:cstheme="minorHAnsi"/>
        </w:rPr>
      </w:pPr>
      <w:r w:rsidRPr="0003060E">
        <w:rPr>
          <w:rFonts w:asciiTheme="minorHAnsi" w:hAnsiTheme="minorHAnsi" w:cstheme="minorHAnsi"/>
        </w:rPr>
        <w:t>Enacted over 2010-2017</w:t>
      </w:r>
      <w:r w:rsidR="00CA77CE" w:rsidRPr="0003060E">
        <w:rPr>
          <w:rFonts w:asciiTheme="minorHAnsi" w:hAnsiTheme="minorHAnsi" w:cstheme="minorHAnsi"/>
        </w:rPr>
        <w:t xml:space="preserve">, Australia’s new uniform ML-based CAA legislation </w:t>
      </w:r>
      <w:r w:rsidR="00FE71A2" w:rsidRPr="0003060E">
        <w:rPr>
          <w:rFonts w:asciiTheme="minorHAnsi" w:hAnsiTheme="minorHAnsi" w:cstheme="minorHAnsi"/>
        </w:rPr>
        <w:t>(s27D) adopted a further</w:t>
      </w:r>
      <w:r w:rsidR="00CA77CE" w:rsidRPr="0003060E">
        <w:rPr>
          <w:rFonts w:asciiTheme="minorHAnsi" w:hAnsiTheme="minorHAnsi" w:cstheme="minorHAnsi"/>
        </w:rPr>
        <w:t xml:space="preserve"> add-on</w:t>
      </w:r>
      <w:r w:rsidRPr="0003060E">
        <w:rPr>
          <w:rFonts w:asciiTheme="minorHAnsi" w:hAnsiTheme="minorHAnsi" w:cstheme="minorHAnsi"/>
        </w:rPr>
        <w:t>. Parties may</w:t>
      </w:r>
      <w:r w:rsidR="00CA77CE" w:rsidRPr="0003060E">
        <w:rPr>
          <w:rFonts w:asciiTheme="minorHAnsi" w:hAnsiTheme="minorHAnsi" w:cstheme="minorHAnsi"/>
        </w:rPr>
        <w:t xml:space="preserve"> authorise Arb-Med by </w:t>
      </w:r>
      <w:r w:rsidR="00FE71A2" w:rsidRPr="0003060E">
        <w:rPr>
          <w:rFonts w:asciiTheme="minorHAnsi" w:hAnsiTheme="minorHAnsi" w:cstheme="minorHAnsi"/>
        </w:rPr>
        <w:t xml:space="preserve">the same neutral(s), and then if caucusing occurs any such confidential information must be disclosed as is considered material before resuming the arbitration proceedings (as under Hong Kong and Singaporean law). As an additional safeguard, however, </w:t>
      </w:r>
      <w:r w:rsidR="00CA77CE" w:rsidRPr="0003060E">
        <w:rPr>
          <w:rFonts w:asciiTheme="minorHAnsi" w:hAnsiTheme="minorHAnsi" w:cstheme="minorHAnsi"/>
        </w:rPr>
        <w:t>the parties</w:t>
      </w:r>
      <w:r w:rsidRPr="0003060E">
        <w:rPr>
          <w:rFonts w:asciiTheme="minorHAnsi" w:hAnsiTheme="minorHAnsi" w:cstheme="minorHAnsi"/>
        </w:rPr>
        <w:t xml:space="preserve"> must provide a further </w:t>
      </w:r>
      <w:r w:rsidR="00CA77CE" w:rsidRPr="0003060E">
        <w:rPr>
          <w:rFonts w:asciiTheme="minorHAnsi" w:hAnsiTheme="minorHAnsi" w:cstheme="minorHAnsi"/>
        </w:rPr>
        <w:t xml:space="preserve">consent if the mediation attempts are unsuccessful before </w:t>
      </w:r>
      <w:r w:rsidRPr="0003060E">
        <w:rPr>
          <w:rFonts w:asciiTheme="minorHAnsi" w:hAnsiTheme="minorHAnsi" w:cstheme="minorHAnsi"/>
        </w:rPr>
        <w:t>the neutral</w:t>
      </w:r>
      <w:r w:rsidR="00722013" w:rsidRPr="0003060E">
        <w:rPr>
          <w:rFonts w:asciiTheme="minorHAnsi" w:hAnsiTheme="minorHAnsi" w:cstheme="minorHAnsi"/>
        </w:rPr>
        <w:t xml:space="preserve">(s) </w:t>
      </w:r>
      <w:r w:rsidRPr="0003060E">
        <w:rPr>
          <w:rFonts w:asciiTheme="minorHAnsi" w:hAnsiTheme="minorHAnsi" w:cstheme="minorHAnsi"/>
        </w:rPr>
        <w:t>may resume</w:t>
      </w:r>
      <w:r w:rsidR="00CA77CE" w:rsidRPr="0003060E">
        <w:rPr>
          <w:rFonts w:asciiTheme="minorHAnsi" w:hAnsiTheme="minorHAnsi" w:cstheme="minorHAnsi"/>
        </w:rPr>
        <w:t xml:space="preserve"> the arbitration. Some case law</w:t>
      </w:r>
      <w:r w:rsidR="005A19DB" w:rsidRPr="0003060E">
        <w:rPr>
          <w:rStyle w:val="FootnoteReference"/>
          <w:rFonts w:asciiTheme="minorHAnsi" w:hAnsiTheme="minorHAnsi" w:cstheme="minorHAnsi"/>
        </w:rPr>
        <w:footnoteReference w:id="86"/>
      </w:r>
      <w:r w:rsidR="005A19DB" w:rsidRPr="0003060E">
        <w:rPr>
          <w:rFonts w:asciiTheme="minorHAnsi" w:hAnsiTheme="minorHAnsi" w:cstheme="minorHAnsi"/>
        </w:rPr>
        <w:t xml:space="preserve"> </w:t>
      </w:r>
      <w:r w:rsidR="00CA77CE" w:rsidRPr="0003060E">
        <w:rPr>
          <w:rFonts w:asciiTheme="minorHAnsi" w:hAnsiTheme="minorHAnsi" w:cstheme="minorHAnsi"/>
        </w:rPr>
        <w:t>and anecdotal evidence suggests there has been some use of this statutory “</w:t>
      </w:r>
      <w:proofErr w:type="gramStart"/>
      <w:r w:rsidR="00CA77CE" w:rsidRPr="0003060E">
        <w:rPr>
          <w:rFonts w:asciiTheme="minorHAnsi" w:hAnsiTheme="minorHAnsi" w:cstheme="minorHAnsi"/>
        </w:rPr>
        <w:t>dual-consent</w:t>
      </w:r>
      <w:proofErr w:type="gramEnd"/>
      <w:r w:rsidR="00CA77CE" w:rsidRPr="0003060E">
        <w:rPr>
          <w:rFonts w:asciiTheme="minorHAnsi" w:hAnsiTheme="minorHAnsi" w:cstheme="minorHAnsi"/>
        </w:rPr>
        <w:t>” model, but not much.</w:t>
      </w:r>
      <w:r w:rsidR="00CA77CE" w:rsidRPr="0003060E">
        <w:rPr>
          <w:rStyle w:val="FootnoteReference"/>
          <w:rFonts w:asciiTheme="minorHAnsi" w:hAnsiTheme="minorHAnsi" w:cstheme="minorHAnsi"/>
        </w:rPr>
        <w:footnoteReference w:id="87"/>
      </w:r>
      <w:r w:rsidR="00CA77CE" w:rsidRPr="0003060E">
        <w:rPr>
          <w:rFonts w:asciiTheme="minorHAnsi" w:hAnsiTheme="minorHAnsi" w:cstheme="minorHAnsi"/>
        </w:rPr>
        <w:t xml:space="preserve"> A disadvantage is that it could be used by a cunning respondent to torpedo the arbitration by withholding the second consent and forcing appointment of a different arbitrator to restart the arbitration. </w:t>
      </w:r>
    </w:p>
    <w:p w14:paraId="1958F0CF" w14:textId="3091B390" w:rsidR="00CA77CE" w:rsidRPr="0003060E" w:rsidRDefault="00CA77CE" w:rsidP="00E76D41">
      <w:pPr>
        <w:spacing w:before="120"/>
        <w:jc w:val="both"/>
        <w:rPr>
          <w:rFonts w:asciiTheme="minorHAnsi" w:hAnsiTheme="minorHAnsi" w:cstheme="minorHAnsi"/>
        </w:rPr>
      </w:pPr>
      <w:r w:rsidRPr="0003060E">
        <w:rPr>
          <w:rFonts w:asciiTheme="minorHAnsi" w:hAnsiTheme="minorHAnsi" w:cstheme="minorHAnsi"/>
        </w:rPr>
        <w:t xml:space="preserve">The committee drafting the ACICA Arbitration Rules (on which I have served since 2004) tried to </w:t>
      </w:r>
      <w:r w:rsidR="00A474CA" w:rsidRPr="0003060E">
        <w:rPr>
          <w:rFonts w:asciiTheme="minorHAnsi" w:hAnsiTheme="minorHAnsi" w:cstheme="minorHAnsi"/>
        </w:rPr>
        <w:t xml:space="preserve">partially </w:t>
      </w:r>
      <w:r w:rsidRPr="0003060E">
        <w:rPr>
          <w:rFonts w:asciiTheme="minorHAnsi" w:hAnsiTheme="minorHAnsi" w:cstheme="minorHAnsi"/>
        </w:rPr>
        <w:t xml:space="preserve">ameliorate that problem by proposing revisions for the 2021 Rules that were modelled on the CAA </w:t>
      </w:r>
      <w:proofErr w:type="gramStart"/>
      <w:r w:rsidRPr="0003060E">
        <w:rPr>
          <w:rFonts w:asciiTheme="minorHAnsi" w:hAnsiTheme="minorHAnsi" w:cstheme="minorHAnsi"/>
        </w:rPr>
        <w:t>legislation</w:t>
      </w:r>
      <w:r w:rsidR="00A474CA" w:rsidRPr="0003060E">
        <w:rPr>
          <w:rFonts w:asciiTheme="minorHAnsi" w:hAnsiTheme="minorHAnsi" w:cstheme="minorHAnsi"/>
        </w:rPr>
        <w:t>, but</w:t>
      </w:r>
      <w:proofErr w:type="gramEnd"/>
      <w:r w:rsidR="00A474CA" w:rsidRPr="0003060E">
        <w:rPr>
          <w:rFonts w:asciiTheme="minorHAnsi" w:hAnsiTheme="minorHAnsi" w:cstheme="minorHAnsi"/>
        </w:rPr>
        <w:t xml:space="preserve"> adding</w:t>
      </w:r>
      <w:r w:rsidR="00FE71A2" w:rsidRPr="0003060E">
        <w:rPr>
          <w:rFonts w:asciiTheme="minorHAnsi" w:hAnsiTheme="minorHAnsi" w:cstheme="minorHAnsi"/>
        </w:rPr>
        <w:t xml:space="preserve"> an extra provision. If </w:t>
      </w:r>
      <w:r w:rsidR="00A474CA" w:rsidRPr="0003060E">
        <w:rPr>
          <w:rFonts w:asciiTheme="minorHAnsi" w:hAnsiTheme="minorHAnsi" w:cstheme="minorHAnsi"/>
        </w:rPr>
        <w:t>when parties gave their initial consent to Arb-Med a “back-up arbitrator” would be appointed</w:t>
      </w:r>
      <w:r w:rsidR="00FE71A2" w:rsidRPr="0003060E">
        <w:rPr>
          <w:rFonts w:asciiTheme="minorHAnsi" w:hAnsiTheme="minorHAnsi" w:cstheme="minorHAnsi"/>
        </w:rPr>
        <w:t>, to save time by stepping in if</w:t>
      </w:r>
      <w:r w:rsidR="00A474CA" w:rsidRPr="0003060E">
        <w:rPr>
          <w:rFonts w:asciiTheme="minorHAnsi" w:hAnsiTheme="minorHAnsi" w:cstheme="minorHAnsi"/>
        </w:rPr>
        <w:t xml:space="preserve"> the second consent was not forthcoming. However, </w:t>
      </w:r>
      <w:r w:rsidR="00FE71A2" w:rsidRPr="0003060E">
        <w:rPr>
          <w:rFonts w:asciiTheme="minorHAnsi" w:hAnsiTheme="minorHAnsi" w:cstheme="minorHAnsi"/>
        </w:rPr>
        <w:t>these Arb-Med provisions in</w:t>
      </w:r>
      <w:r w:rsidR="00A474CA" w:rsidRPr="0003060E">
        <w:rPr>
          <w:rFonts w:asciiTheme="minorHAnsi" w:hAnsiTheme="minorHAnsi" w:cstheme="minorHAnsi"/>
        </w:rPr>
        <w:t xml:space="preserve"> the Draft Exposure Rules did not gain enough public support to include ultimately in the 2021 ACICA Arbitration. Future Rules might nonetheless include them as separate opt-in provision (not as an automatic part that parties would then have to opt-out of as with other Rules). Meanwhile, parties could adapt them as Arb-Med provisions in individual contracts, although there could be a risk that ACICA would not appoint a back-up arbitrator.</w:t>
      </w:r>
      <w:r w:rsidR="00EA79C0" w:rsidRPr="0003060E">
        <w:rPr>
          <w:rStyle w:val="FootnoteReference"/>
          <w:rFonts w:asciiTheme="minorHAnsi" w:hAnsiTheme="minorHAnsi" w:cstheme="minorHAnsi"/>
        </w:rPr>
        <w:footnoteReference w:id="88"/>
      </w:r>
      <w:r w:rsidR="00A474CA" w:rsidRPr="0003060E">
        <w:rPr>
          <w:rFonts w:asciiTheme="minorHAnsi" w:hAnsiTheme="minorHAnsi" w:cstheme="minorHAnsi"/>
        </w:rPr>
        <w:t xml:space="preserve"> Adopting the dual-consent model, albeit quite conservative and not generally preferred by commentators,</w:t>
      </w:r>
      <w:r w:rsidR="00A474CA" w:rsidRPr="0003060E">
        <w:rPr>
          <w:rStyle w:val="FootnoteReference"/>
          <w:rFonts w:asciiTheme="minorHAnsi" w:hAnsiTheme="minorHAnsi" w:cstheme="minorHAnsi"/>
        </w:rPr>
        <w:footnoteReference w:id="89"/>
      </w:r>
      <w:r w:rsidR="00A474CA" w:rsidRPr="0003060E">
        <w:rPr>
          <w:rFonts w:asciiTheme="minorHAnsi" w:hAnsiTheme="minorHAnsi" w:cstheme="minorHAnsi"/>
        </w:rPr>
        <w:t xml:space="preserve"> should insulate the process from challenges based on public policy associated with perceived partiality or lack of equa</w:t>
      </w:r>
      <w:r w:rsidR="00643C4E" w:rsidRPr="0003060E">
        <w:rPr>
          <w:rFonts w:asciiTheme="minorHAnsi" w:hAnsiTheme="minorHAnsi" w:cstheme="minorHAnsi"/>
        </w:rPr>
        <w:t xml:space="preserve">lity towards all parties, given its acceptance </w:t>
      </w:r>
      <w:r w:rsidR="00643C4E" w:rsidRPr="0003060E">
        <w:rPr>
          <w:rFonts w:asciiTheme="minorHAnsi" w:hAnsiTheme="minorHAnsi" w:cstheme="minorHAnsi"/>
        </w:rPr>
        <w:lastRenderedPageBreak/>
        <w:t xml:space="preserve">by Australian legislatures for even domestic arbitrations. </w:t>
      </w:r>
      <w:r w:rsidR="007B6A25" w:rsidRPr="0003060E">
        <w:rPr>
          <w:rFonts w:asciiTheme="minorHAnsi" w:hAnsiTheme="minorHAnsi" w:cstheme="minorHAnsi"/>
        </w:rPr>
        <w:t>However,</w:t>
      </w:r>
      <w:r w:rsidR="00643C4E" w:rsidRPr="0003060E">
        <w:rPr>
          <w:rFonts w:asciiTheme="minorHAnsi" w:hAnsiTheme="minorHAnsi" w:cstheme="minorHAnsi"/>
        </w:rPr>
        <w:t xml:space="preserve"> it would be preferable for the federal government to respond to repeated calls to engage in public consultations to legislate some Arb-Med provisions in the IAA.</w:t>
      </w:r>
      <w:r w:rsidR="00643C4E" w:rsidRPr="0003060E">
        <w:rPr>
          <w:rStyle w:val="FootnoteReference"/>
          <w:rFonts w:asciiTheme="minorHAnsi" w:hAnsiTheme="minorHAnsi" w:cstheme="minorHAnsi"/>
        </w:rPr>
        <w:footnoteReference w:id="90"/>
      </w:r>
    </w:p>
    <w:p w14:paraId="1F734D11" w14:textId="09A8FC14" w:rsidR="00643C4E" w:rsidRPr="0003060E" w:rsidRDefault="00643C4E" w:rsidP="00E76D41">
      <w:pPr>
        <w:spacing w:before="120"/>
        <w:jc w:val="both"/>
        <w:rPr>
          <w:rFonts w:asciiTheme="minorHAnsi" w:hAnsiTheme="minorHAnsi" w:cstheme="minorHAnsi"/>
        </w:rPr>
      </w:pPr>
      <w:r w:rsidRPr="0003060E">
        <w:rPr>
          <w:rFonts w:asciiTheme="minorHAnsi" w:hAnsiTheme="minorHAnsi" w:cstheme="minorHAnsi"/>
        </w:rPr>
        <w:t>Yet another Arb-Med model worth considering, and being aware of especially in our regional context, is still practiced quite often in Japan – reflecting a tradition of judges also actively encouraging settlement, indeed even in private sessions with each party.</w:t>
      </w:r>
      <w:r w:rsidRPr="0003060E">
        <w:rPr>
          <w:rStyle w:val="FootnoteReference"/>
          <w:rFonts w:asciiTheme="minorHAnsi" w:hAnsiTheme="minorHAnsi" w:cstheme="minorHAnsi"/>
        </w:rPr>
        <w:footnoteReference w:id="91"/>
      </w:r>
      <w:r w:rsidRPr="0003060E">
        <w:rPr>
          <w:rFonts w:asciiTheme="minorHAnsi" w:hAnsiTheme="minorHAnsi" w:cstheme="minorHAnsi"/>
        </w:rPr>
        <w:t xml:space="preserve"> The ML-based Arbitration Act 2003 and </w:t>
      </w:r>
      <w:r w:rsidR="007B6A25" w:rsidRPr="0003060E">
        <w:rPr>
          <w:rFonts w:asciiTheme="minorHAnsi" w:hAnsiTheme="minorHAnsi" w:cstheme="minorHAnsi"/>
        </w:rPr>
        <w:t xml:space="preserve">the JCAA </w:t>
      </w:r>
      <w:r w:rsidRPr="0003060E">
        <w:rPr>
          <w:rFonts w:asciiTheme="minorHAnsi" w:hAnsiTheme="minorHAnsi" w:cstheme="minorHAnsi"/>
        </w:rPr>
        <w:t>Rules merely reiterate that the tribunal can only engage in Arb-Med if the parties expressly provide consent. But a common practice then has been for the parties to agree further with the tribunal that any information disclosed privately will not be used when reverting to arbitration if settlement attempts fail. Even some from the Anglo-American lawyering tradition have been pleasantly surprised with the usefulness of this approach.</w:t>
      </w:r>
      <w:r w:rsidRPr="0003060E">
        <w:rPr>
          <w:rStyle w:val="FootnoteReference"/>
          <w:rFonts w:asciiTheme="minorHAnsi" w:hAnsiTheme="minorHAnsi" w:cstheme="minorHAnsi"/>
        </w:rPr>
        <w:footnoteReference w:id="92"/>
      </w:r>
      <w:r w:rsidRPr="0003060E">
        <w:rPr>
          <w:rFonts w:asciiTheme="minorHAnsi" w:hAnsiTheme="minorHAnsi" w:cstheme="minorHAnsi"/>
        </w:rPr>
        <w:t xml:space="preserve"> However, a disadvantage in practice could be proving to a supervisory or award enforcement court that this party undertaking was violated by the tribunal reverting to arbitration after the failed arbitration.</w:t>
      </w:r>
      <w:r w:rsidR="00635B40" w:rsidRPr="0003060E">
        <w:rPr>
          <w:rFonts w:asciiTheme="minorHAnsi" w:hAnsiTheme="minorHAnsi" w:cstheme="minorHAnsi"/>
        </w:rPr>
        <w:t xml:space="preserve"> Furthermore, the question has been raised whether the unadulterated</w:t>
      </w:r>
      <w:r w:rsidR="00635B40" w:rsidRPr="0003060E">
        <w:rPr>
          <w:rFonts w:asciiTheme="minorHAnsi" w:hAnsiTheme="minorHAnsi" w:cstheme="minorHAnsi"/>
          <w:color w:val="000000"/>
        </w:rPr>
        <w:t xml:space="preserve"> ML Art 24(3), requiring a party to simultaneously disclose to other parties all information provided to the tribunal, should be considered mandatory because the principle is so inherent to the concept of an arbitration.</w:t>
      </w:r>
      <w:r w:rsidR="00635B40" w:rsidRPr="0003060E">
        <w:rPr>
          <w:rStyle w:val="FootnoteReference"/>
          <w:rFonts w:asciiTheme="minorHAnsi" w:hAnsiTheme="minorHAnsi" w:cstheme="minorHAnsi"/>
          <w:color w:val="000000"/>
        </w:rPr>
        <w:footnoteReference w:id="93"/>
      </w:r>
    </w:p>
    <w:p w14:paraId="5758A18E" w14:textId="2D19B556" w:rsidR="0000192E" w:rsidRPr="0003060E" w:rsidRDefault="00EC08E4" w:rsidP="00E76D41">
      <w:pPr>
        <w:spacing w:before="120"/>
        <w:jc w:val="both"/>
        <w:rPr>
          <w:rFonts w:asciiTheme="minorHAnsi" w:hAnsiTheme="minorHAnsi" w:cstheme="minorHAnsi"/>
        </w:rPr>
      </w:pPr>
      <w:r w:rsidRPr="0003060E">
        <w:rPr>
          <w:rFonts w:asciiTheme="minorHAnsi" w:hAnsiTheme="minorHAnsi" w:cstheme="minorHAnsi"/>
        </w:rPr>
        <w:t>A final possibility is to sidestep issues around arbitrator bias, unequal treatment of parties and related public policy objections by conducting Arb-Med in</w:t>
      </w:r>
      <w:r w:rsidR="00643C4E" w:rsidRPr="0003060E">
        <w:rPr>
          <w:rFonts w:asciiTheme="minorHAnsi" w:hAnsiTheme="minorHAnsi" w:cstheme="minorHAnsi"/>
        </w:rPr>
        <w:t xml:space="preserve"> open session.</w:t>
      </w:r>
      <w:r w:rsidRPr="0003060E">
        <w:rPr>
          <w:rFonts w:asciiTheme="minorHAnsi" w:hAnsiTheme="minorHAnsi" w:cstheme="minorHAnsi"/>
        </w:rPr>
        <w:t xml:space="preserve"> This was the primary proposal in the 2009 Centre for Effective Dispute Resolution (CEDR) report and Rules for the Facilitation of Settlement in International Arbitration</w:t>
      </w:r>
      <w:r w:rsidR="00FE71A2" w:rsidRPr="0003060E">
        <w:rPr>
          <w:rFonts w:asciiTheme="minorHAnsi" w:hAnsiTheme="minorHAnsi" w:cstheme="minorHAnsi"/>
        </w:rPr>
        <w:t>. That was s</w:t>
      </w:r>
      <w:r w:rsidRPr="0003060E">
        <w:rPr>
          <w:rFonts w:asciiTheme="minorHAnsi" w:hAnsiTheme="minorHAnsi" w:cstheme="minorHAnsi"/>
        </w:rPr>
        <w:t>pearheaded by eminent Swiss arbitrator</w:t>
      </w:r>
      <w:r w:rsidR="00712309" w:rsidRPr="0003060E">
        <w:rPr>
          <w:rFonts w:asciiTheme="minorHAnsi" w:hAnsiTheme="minorHAnsi" w:cstheme="minorHAnsi"/>
        </w:rPr>
        <w:t xml:space="preserve"> and professor</w:t>
      </w:r>
      <w:r w:rsidRPr="0003060E">
        <w:rPr>
          <w:rFonts w:asciiTheme="minorHAnsi" w:hAnsiTheme="minorHAnsi" w:cstheme="minorHAnsi"/>
        </w:rPr>
        <w:t xml:space="preserve"> Gabriel Kaufmann-Kohler and former senior English judge Harry Wolff</w:t>
      </w:r>
      <w:r w:rsidR="00FE71A2" w:rsidRPr="0003060E">
        <w:rPr>
          <w:rFonts w:asciiTheme="minorHAnsi" w:hAnsiTheme="minorHAnsi" w:cstheme="minorHAnsi"/>
        </w:rPr>
        <w:t>, trying to bridge the common law / civil law divide</w:t>
      </w:r>
      <w:r w:rsidRPr="0003060E">
        <w:rPr>
          <w:rFonts w:asciiTheme="minorHAnsi" w:hAnsiTheme="minorHAnsi" w:cstheme="minorHAnsi"/>
        </w:rPr>
        <w:t>.</w:t>
      </w:r>
      <w:r w:rsidRPr="0003060E">
        <w:rPr>
          <w:rStyle w:val="FootnoteReference"/>
          <w:rFonts w:asciiTheme="minorHAnsi" w:hAnsiTheme="minorHAnsi" w:cstheme="minorHAnsi"/>
        </w:rPr>
        <w:footnoteReference w:id="94"/>
      </w:r>
      <w:r w:rsidRPr="0003060E">
        <w:rPr>
          <w:rFonts w:asciiTheme="minorHAnsi" w:hAnsiTheme="minorHAnsi" w:cstheme="minorHAnsi"/>
        </w:rPr>
        <w:t xml:space="preserve"> </w:t>
      </w:r>
    </w:p>
    <w:p w14:paraId="10C40704" w14:textId="789F4423" w:rsidR="00D03937" w:rsidRPr="0003060E" w:rsidRDefault="00EC08E4" w:rsidP="00E76D41">
      <w:pPr>
        <w:spacing w:before="120"/>
        <w:jc w:val="both"/>
        <w:rPr>
          <w:rFonts w:asciiTheme="minorHAnsi" w:hAnsiTheme="minorHAnsi" w:cstheme="minorHAnsi"/>
          <w:color w:val="000000"/>
        </w:rPr>
      </w:pPr>
      <w:r w:rsidRPr="0003060E">
        <w:rPr>
          <w:rFonts w:asciiTheme="minorHAnsi" w:hAnsiTheme="minorHAnsi" w:cstheme="minorHAnsi"/>
        </w:rPr>
        <w:t>The New Zealand International Arbitration Centre</w:t>
      </w:r>
      <w:r w:rsidR="005A1137" w:rsidRPr="0003060E">
        <w:rPr>
          <w:rFonts w:asciiTheme="minorHAnsi" w:hAnsiTheme="minorHAnsi" w:cstheme="minorHAnsi"/>
        </w:rPr>
        <w:t xml:space="preserve"> (NZIAC)</w:t>
      </w:r>
      <w:r w:rsidRPr="0003060E">
        <w:rPr>
          <w:rFonts w:asciiTheme="minorHAnsi" w:hAnsiTheme="minorHAnsi" w:cstheme="minorHAnsi"/>
        </w:rPr>
        <w:t xml:space="preserve"> 2018 Arb-Med Rules adopt this approach. Article 33.4 requires all information provided to the tribunal by a party to be extended simultaneously to the other parties and the NZIAC Registrar.</w:t>
      </w:r>
      <w:r w:rsidR="005A1137" w:rsidRPr="0003060E">
        <w:rPr>
          <w:rStyle w:val="FootnoteReference"/>
          <w:rFonts w:asciiTheme="minorHAnsi" w:hAnsiTheme="minorHAnsi" w:cstheme="minorHAnsi"/>
        </w:rPr>
        <w:footnoteReference w:id="95"/>
      </w:r>
      <w:r w:rsidR="005A1137" w:rsidRPr="0003060E">
        <w:rPr>
          <w:rFonts w:asciiTheme="minorHAnsi" w:hAnsiTheme="minorHAnsi" w:cstheme="minorHAnsi"/>
        </w:rPr>
        <w:t xml:space="preserve"> </w:t>
      </w:r>
      <w:r w:rsidR="00861CEF" w:rsidRPr="0003060E">
        <w:rPr>
          <w:rFonts w:asciiTheme="minorHAnsi" w:hAnsiTheme="minorHAnsi" w:cstheme="minorHAnsi"/>
        </w:rPr>
        <w:t xml:space="preserve">This </w:t>
      </w:r>
      <w:r w:rsidR="006C3CA1" w:rsidRPr="0003060E">
        <w:rPr>
          <w:rFonts w:asciiTheme="minorHAnsi" w:hAnsiTheme="minorHAnsi" w:cstheme="minorHAnsi"/>
        </w:rPr>
        <w:t>is consistent with the</w:t>
      </w:r>
      <w:r w:rsidR="00D03937" w:rsidRPr="0003060E">
        <w:rPr>
          <w:rFonts w:asciiTheme="minorHAnsi" w:hAnsiTheme="minorHAnsi" w:cstheme="minorHAnsi"/>
        </w:rPr>
        <w:t xml:space="preserve"> first-instance</w:t>
      </w:r>
      <w:r w:rsidR="006C3CA1" w:rsidRPr="0003060E">
        <w:rPr>
          <w:rFonts w:asciiTheme="minorHAnsi" w:hAnsiTheme="minorHAnsi" w:cstheme="minorHAnsi"/>
        </w:rPr>
        <w:t xml:space="preserve"> decision of </w:t>
      </w:r>
      <w:r w:rsidR="00FE71A2" w:rsidRPr="0003060E">
        <w:rPr>
          <w:rFonts w:asciiTheme="minorHAnsi" w:hAnsiTheme="minorHAnsi" w:cstheme="minorHAnsi"/>
        </w:rPr>
        <w:t>the High Court of New Zealand</w:t>
      </w:r>
      <w:r w:rsidR="006C3CA1" w:rsidRPr="0003060E">
        <w:rPr>
          <w:rFonts w:asciiTheme="minorHAnsi" w:hAnsiTheme="minorHAnsi" w:cstheme="minorHAnsi"/>
        </w:rPr>
        <w:t xml:space="preserve"> J in </w:t>
      </w:r>
      <w:r w:rsidR="006C3CA1" w:rsidRPr="0003060E">
        <w:rPr>
          <w:rFonts w:asciiTheme="minorHAnsi" w:hAnsiTheme="minorHAnsi" w:cstheme="minorHAnsi"/>
          <w:i/>
          <w:iCs/>
        </w:rPr>
        <w:t xml:space="preserve">Acorn Farms Ltd v </w:t>
      </w:r>
      <w:proofErr w:type="spellStart"/>
      <w:r w:rsidR="006C3CA1" w:rsidRPr="0003060E">
        <w:rPr>
          <w:rFonts w:asciiTheme="minorHAnsi" w:hAnsiTheme="minorHAnsi" w:cstheme="minorHAnsi"/>
          <w:i/>
          <w:iCs/>
        </w:rPr>
        <w:t>Schnuriger</w:t>
      </w:r>
      <w:proofErr w:type="spellEnd"/>
      <w:r w:rsidR="006C3CA1" w:rsidRPr="0003060E">
        <w:rPr>
          <w:rFonts w:asciiTheme="minorHAnsi" w:hAnsiTheme="minorHAnsi" w:cstheme="minorHAnsi"/>
        </w:rPr>
        <w:t>,</w:t>
      </w:r>
      <w:r w:rsidR="00FE71A2" w:rsidRPr="0003060E">
        <w:rPr>
          <w:rStyle w:val="FootnoteReference"/>
          <w:rFonts w:asciiTheme="minorHAnsi" w:hAnsiTheme="minorHAnsi" w:cstheme="minorHAnsi"/>
        </w:rPr>
        <w:footnoteReference w:id="96"/>
      </w:r>
      <w:r w:rsidR="006C3CA1" w:rsidRPr="0003060E">
        <w:rPr>
          <w:rFonts w:asciiTheme="minorHAnsi" w:hAnsiTheme="minorHAnsi" w:cstheme="minorHAnsi"/>
        </w:rPr>
        <w:t xml:space="preserve"> where</w:t>
      </w:r>
      <w:r w:rsidR="00D03937" w:rsidRPr="0003060E">
        <w:rPr>
          <w:rFonts w:asciiTheme="minorHAnsi" w:hAnsiTheme="minorHAnsi" w:cstheme="minorHAnsi"/>
        </w:rPr>
        <w:t xml:space="preserve"> Fisher J held that the arbitrator/mediator could not receive information without the other parties being present, and this therefore prevented break-out or caucusing sessions to facilitate settlement. That approach </w:t>
      </w:r>
      <w:r w:rsidR="00861CEF" w:rsidRPr="0003060E">
        <w:rPr>
          <w:rFonts w:asciiTheme="minorHAnsi" w:hAnsiTheme="minorHAnsi" w:cstheme="minorHAnsi"/>
        </w:rPr>
        <w:t>may</w:t>
      </w:r>
      <w:r w:rsidR="005A1137" w:rsidRPr="0003060E">
        <w:rPr>
          <w:rFonts w:asciiTheme="minorHAnsi" w:hAnsiTheme="minorHAnsi" w:cstheme="minorHAnsi"/>
        </w:rPr>
        <w:t xml:space="preserve"> </w:t>
      </w:r>
      <w:r w:rsidR="006F3C9D" w:rsidRPr="0003060E">
        <w:rPr>
          <w:rFonts w:asciiTheme="minorHAnsi" w:hAnsiTheme="minorHAnsi" w:cstheme="minorHAnsi"/>
        </w:rPr>
        <w:t xml:space="preserve">appear more </w:t>
      </w:r>
      <w:r w:rsidR="005A1137" w:rsidRPr="0003060E">
        <w:rPr>
          <w:rFonts w:asciiTheme="minorHAnsi" w:hAnsiTheme="minorHAnsi" w:cstheme="minorHAnsi"/>
        </w:rPr>
        <w:t xml:space="preserve">consistent with </w:t>
      </w:r>
      <w:r w:rsidR="00D03937" w:rsidRPr="0003060E">
        <w:rPr>
          <w:rFonts w:asciiTheme="minorHAnsi" w:hAnsiTheme="minorHAnsi" w:cstheme="minorHAnsi"/>
        </w:rPr>
        <w:t>Fisher J’s earlier decision in</w:t>
      </w:r>
      <w:r w:rsidR="005A1137" w:rsidRPr="0003060E">
        <w:rPr>
          <w:rFonts w:asciiTheme="minorHAnsi" w:hAnsiTheme="minorHAnsi" w:cstheme="minorHAnsi"/>
        </w:rPr>
        <w:t xml:space="preserve"> </w:t>
      </w:r>
      <w:hyperlink r:id="rId10" w:history="1">
        <w:r w:rsidR="005A1137" w:rsidRPr="0003060E">
          <w:rPr>
            <w:rStyle w:val="Hyperlink"/>
            <w:rFonts w:asciiTheme="minorHAnsi" w:hAnsiTheme="minorHAnsi" w:cstheme="minorHAnsi"/>
            <w:i/>
            <w:iCs/>
            <w:color w:val="auto"/>
            <w:u w:val="none"/>
          </w:rPr>
          <w:t xml:space="preserve">Trustees of </w:t>
        </w:r>
        <w:proofErr w:type="spellStart"/>
        <w:r w:rsidR="005A1137" w:rsidRPr="0003060E">
          <w:rPr>
            <w:rStyle w:val="Hyperlink"/>
            <w:rFonts w:asciiTheme="minorHAnsi" w:hAnsiTheme="minorHAnsi" w:cstheme="minorHAnsi"/>
            <w:i/>
            <w:iCs/>
            <w:color w:val="auto"/>
            <w:u w:val="none"/>
          </w:rPr>
          <w:t>Rotoaira</w:t>
        </w:r>
        <w:proofErr w:type="spellEnd"/>
        <w:r w:rsidR="005A1137" w:rsidRPr="0003060E">
          <w:rPr>
            <w:rStyle w:val="Hyperlink"/>
            <w:rFonts w:asciiTheme="minorHAnsi" w:hAnsiTheme="minorHAnsi" w:cstheme="minorHAnsi"/>
            <w:i/>
            <w:iCs/>
            <w:color w:val="auto"/>
            <w:u w:val="none"/>
          </w:rPr>
          <w:t xml:space="preserve"> Forest Trust v Attorney</w:t>
        </w:r>
        <w:r w:rsidR="007B6A25" w:rsidRPr="0003060E">
          <w:rPr>
            <w:rStyle w:val="Hyperlink"/>
            <w:rFonts w:asciiTheme="minorHAnsi" w:hAnsiTheme="minorHAnsi" w:cstheme="minorHAnsi"/>
            <w:i/>
            <w:iCs/>
            <w:color w:val="auto"/>
            <w:u w:val="none"/>
          </w:rPr>
          <w:t>-</w:t>
        </w:r>
        <w:r w:rsidR="005A1137" w:rsidRPr="0003060E">
          <w:rPr>
            <w:rStyle w:val="Hyperlink"/>
            <w:rFonts w:asciiTheme="minorHAnsi" w:hAnsiTheme="minorHAnsi" w:cstheme="minorHAnsi"/>
            <w:i/>
            <w:iCs/>
            <w:color w:val="auto"/>
            <w:u w:val="none"/>
          </w:rPr>
          <w:t>General</w:t>
        </w:r>
      </w:hyperlink>
      <w:r w:rsidR="00D2518D" w:rsidRPr="0003060E">
        <w:rPr>
          <w:rFonts w:asciiTheme="minorHAnsi" w:hAnsiTheme="minorHAnsi" w:cstheme="minorHAnsi"/>
        </w:rPr>
        <w:t xml:space="preserve">, </w:t>
      </w:r>
      <w:r w:rsidR="006F3C9D" w:rsidRPr="0003060E">
        <w:rPr>
          <w:rFonts w:asciiTheme="minorHAnsi" w:hAnsiTheme="minorHAnsi" w:cstheme="minorHAnsi"/>
        </w:rPr>
        <w:t xml:space="preserve"> o</w:t>
      </w:r>
      <w:r w:rsidR="006F3C9D" w:rsidRPr="0003060E">
        <w:rPr>
          <w:rFonts w:asciiTheme="minorHAnsi" w:hAnsiTheme="minorHAnsi" w:cstheme="minorHAnsi"/>
          <w:color w:val="000000"/>
        </w:rPr>
        <w:t>ften cited in subsequent cases.</w:t>
      </w:r>
      <w:r w:rsidR="00861CEF" w:rsidRPr="0003060E">
        <w:rPr>
          <w:rStyle w:val="FootnoteReference"/>
          <w:rFonts w:asciiTheme="minorHAnsi" w:hAnsiTheme="minorHAnsi" w:cstheme="minorHAnsi"/>
          <w:color w:val="000000"/>
        </w:rPr>
        <w:footnoteReference w:id="97"/>
      </w:r>
      <w:r w:rsidR="006F3C9D" w:rsidRPr="0003060E">
        <w:rPr>
          <w:rFonts w:asciiTheme="minorHAnsi" w:hAnsiTheme="minorHAnsi" w:cstheme="minorHAnsi"/>
          <w:color w:val="000000"/>
        </w:rPr>
        <w:t xml:space="preserve"> Fisher J outlined that each party should be able to “understand, test and </w:t>
      </w:r>
      <w:r w:rsidR="006F3C9D" w:rsidRPr="0003060E">
        <w:rPr>
          <w:rFonts w:asciiTheme="minorHAnsi" w:hAnsiTheme="minorHAnsi" w:cstheme="minorHAnsi"/>
          <w:color w:val="000000"/>
        </w:rPr>
        <w:lastRenderedPageBreak/>
        <w:t xml:space="preserve">rebut its opponent’s case” and “the arbitrator will normally be precluded from taking into account evidence and argument extraneous to the hearing without </w:t>
      </w:r>
      <w:r w:rsidR="00861CEF" w:rsidRPr="0003060E">
        <w:rPr>
          <w:rFonts w:asciiTheme="minorHAnsi" w:hAnsiTheme="minorHAnsi" w:cstheme="minorHAnsi"/>
          <w:color w:val="000000"/>
        </w:rPr>
        <w:t>giving the parties further notice” – extending also to “the arbitrator’s own opinions and ideas if these are not reasonably foreseeable as potential corollaries”. However, these principles were subject to various qualifications, including “the absence of express or implied agreement to the contrary”, with the overall task being to ensure a reasonable party “would not have foreseen the possibility of reasoning of the type revealed in the award, and further that with adequate notice it might have been possible to persuade the arbitrator to a different result”.</w:t>
      </w:r>
      <w:r w:rsidR="00861CEF" w:rsidRPr="0003060E">
        <w:rPr>
          <w:rStyle w:val="FootnoteReference"/>
          <w:rFonts w:asciiTheme="minorHAnsi" w:hAnsiTheme="minorHAnsi" w:cstheme="minorHAnsi"/>
          <w:color w:val="000000"/>
        </w:rPr>
        <w:footnoteReference w:id="98"/>
      </w:r>
      <w:r w:rsidR="00861CEF" w:rsidRPr="0003060E">
        <w:rPr>
          <w:rFonts w:asciiTheme="minorHAnsi" w:hAnsiTheme="minorHAnsi" w:cstheme="minorHAnsi"/>
          <w:color w:val="000000"/>
        </w:rPr>
        <w:t xml:space="preserve"> Th</w:t>
      </w:r>
      <w:r w:rsidR="00F02876" w:rsidRPr="0003060E">
        <w:rPr>
          <w:rFonts w:asciiTheme="minorHAnsi" w:hAnsiTheme="minorHAnsi" w:cstheme="minorHAnsi"/>
          <w:color w:val="000000"/>
        </w:rPr>
        <w:t xml:space="preserve">is </w:t>
      </w:r>
      <w:r w:rsidR="00861CEF" w:rsidRPr="0003060E">
        <w:rPr>
          <w:rFonts w:asciiTheme="minorHAnsi" w:hAnsiTheme="minorHAnsi" w:cstheme="minorHAnsi"/>
          <w:color w:val="000000"/>
        </w:rPr>
        <w:t>might give more comfort to parties or institutions seeking to authorise Arb-Med including at least some caucusing, without</w:t>
      </w:r>
      <w:r w:rsidR="00F02876" w:rsidRPr="0003060E">
        <w:rPr>
          <w:rFonts w:asciiTheme="minorHAnsi" w:hAnsiTheme="minorHAnsi" w:cstheme="minorHAnsi"/>
          <w:color w:val="000000"/>
        </w:rPr>
        <w:t xml:space="preserve"> simultaneous or even subsequent</w:t>
      </w:r>
      <w:r w:rsidR="00861CEF" w:rsidRPr="0003060E">
        <w:rPr>
          <w:rFonts w:asciiTheme="minorHAnsi" w:hAnsiTheme="minorHAnsi" w:cstheme="minorHAnsi"/>
          <w:color w:val="000000"/>
        </w:rPr>
        <w:t xml:space="preserve"> disclosure </w:t>
      </w:r>
      <w:r w:rsidR="00F02876" w:rsidRPr="0003060E">
        <w:rPr>
          <w:rFonts w:asciiTheme="minorHAnsi" w:hAnsiTheme="minorHAnsi" w:cstheme="minorHAnsi"/>
          <w:color w:val="000000"/>
        </w:rPr>
        <w:t xml:space="preserve">of information provided to the tribunal. </w:t>
      </w:r>
      <w:r w:rsidR="00D03937" w:rsidRPr="0003060E">
        <w:rPr>
          <w:rFonts w:asciiTheme="minorHAnsi" w:hAnsiTheme="minorHAnsi" w:cstheme="minorHAnsi"/>
          <w:color w:val="000000"/>
        </w:rPr>
        <w:t xml:space="preserve">However, legislative reform would be preferable </w:t>
      </w:r>
      <w:r w:rsidR="00FE71A2" w:rsidRPr="0003060E">
        <w:rPr>
          <w:rFonts w:asciiTheme="minorHAnsi" w:hAnsiTheme="minorHAnsi" w:cstheme="minorHAnsi"/>
          <w:color w:val="000000"/>
        </w:rPr>
        <w:t>also in New Zealand, yet arb-med seems to have attracted very little discussion.</w:t>
      </w:r>
      <w:r w:rsidR="00FE71A2" w:rsidRPr="0003060E">
        <w:rPr>
          <w:rStyle w:val="FootnoteReference"/>
          <w:rFonts w:asciiTheme="minorHAnsi" w:hAnsiTheme="minorHAnsi" w:cstheme="minorHAnsi"/>
          <w:color w:val="000000"/>
        </w:rPr>
        <w:footnoteReference w:id="99"/>
      </w:r>
    </w:p>
    <w:p w14:paraId="5C27B7D3" w14:textId="252FBB85" w:rsidR="005A1137" w:rsidRPr="0003060E" w:rsidRDefault="00FE71A2" w:rsidP="00E76D41">
      <w:pPr>
        <w:spacing w:before="120"/>
        <w:jc w:val="both"/>
        <w:rPr>
          <w:rFonts w:asciiTheme="minorHAnsi" w:hAnsiTheme="minorHAnsi" w:cstheme="minorHAnsi"/>
          <w:color w:val="000000"/>
        </w:rPr>
      </w:pPr>
      <w:r w:rsidRPr="0003060E">
        <w:rPr>
          <w:rFonts w:asciiTheme="minorHAnsi" w:hAnsiTheme="minorHAnsi" w:cstheme="minorHAnsi"/>
          <w:color w:val="000000"/>
        </w:rPr>
        <w:t>Meanwhile</w:t>
      </w:r>
      <w:r w:rsidR="00F02876" w:rsidRPr="0003060E">
        <w:rPr>
          <w:rFonts w:asciiTheme="minorHAnsi" w:hAnsiTheme="minorHAnsi" w:cstheme="minorHAnsi"/>
          <w:color w:val="000000"/>
        </w:rPr>
        <w:t>, caucusing does raises extra risks</w:t>
      </w:r>
      <w:r w:rsidRPr="0003060E">
        <w:rPr>
          <w:rFonts w:asciiTheme="minorHAnsi" w:hAnsiTheme="minorHAnsi" w:cstheme="minorHAnsi"/>
          <w:color w:val="000000"/>
        </w:rPr>
        <w:t>. They are</w:t>
      </w:r>
      <w:r w:rsidR="00F02876" w:rsidRPr="0003060E">
        <w:rPr>
          <w:rFonts w:asciiTheme="minorHAnsi" w:hAnsiTheme="minorHAnsi" w:cstheme="minorHAnsi"/>
          <w:color w:val="000000"/>
        </w:rPr>
        <w:t xml:space="preserve"> highlighted by a </w:t>
      </w:r>
      <w:r w:rsidR="00635B40" w:rsidRPr="0003060E">
        <w:rPr>
          <w:rFonts w:asciiTheme="minorHAnsi" w:hAnsiTheme="minorHAnsi" w:cstheme="minorHAnsi"/>
          <w:color w:val="000000"/>
        </w:rPr>
        <w:t>recent</w:t>
      </w:r>
      <w:r w:rsidR="00F02876" w:rsidRPr="0003060E">
        <w:rPr>
          <w:rFonts w:asciiTheme="minorHAnsi" w:hAnsiTheme="minorHAnsi" w:cstheme="minorHAnsi"/>
          <w:color w:val="000000"/>
        </w:rPr>
        <w:t xml:space="preserve"> ICC </w:t>
      </w:r>
      <w:r w:rsidR="00F02876" w:rsidRPr="0003060E">
        <w:rPr>
          <w:rFonts w:asciiTheme="minorHAnsi" w:hAnsiTheme="minorHAnsi" w:cstheme="minorHAnsi"/>
          <w:i/>
          <w:iCs/>
          <w:color w:val="000000"/>
        </w:rPr>
        <w:t>Report on Facilitating Settlement in International Arbitration</w:t>
      </w:r>
      <w:r w:rsidR="00F02876" w:rsidRPr="0003060E">
        <w:rPr>
          <w:rFonts w:asciiTheme="minorHAnsi" w:hAnsiTheme="minorHAnsi" w:cstheme="minorHAnsi"/>
          <w:color w:val="000000"/>
        </w:rPr>
        <w:t xml:space="preserve"> (July 2023)</w:t>
      </w:r>
      <w:r w:rsidRPr="0003060E">
        <w:rPr>
          <w:rFonts w:asciiTheme="minorHAnsi" w:hAnsiTheme="minorHAnsi" w:cstheme="minorHAnsi"/>
          <w:color w:val="000000"/>
        </w:rPr>
        <w:t xml:space="preserve">. It nonetheless </w:t>
      </w:r>
      <w:r w:rsidR="00F02876" w:rsidRPr="0003060E">
        <w:rPr>
          <w:rFonts w:asciiTheme="minorHAnsi" w:hAnsiTheme="minorHAnsi" w:cstheme="minorHAnsi"/>
          <w:color w:val="000000"/>
        </w:rPr>
        <w:t xml:space="preserve">provides </w:t>
      </w:r>
      <w:r w:rsidRPr="0003060E">
        <w:rPr>
          <w:rFonts w:asciiTheme="minorHAnsi" w:hAnsiTheme="minorHAnsi" w:cstheme="minorHAnsi"/>
          <w:color w:val="000000"/>
        </w:rPr>
        <w:t xml:space="preserve">some </w:t>
      </w:r>
      <w:r w:rsidR="00F02876" w:rsidRPr="0003060E">
        <w:rPr>
          <w:rFonts w:asciiTheme="minorHAnsi" w:hAnsiTheme="minorHAnsi" w:cstheme="minorHAnsi"/>
          <w:color w:val="000000"/>
        </w:rPr>
        <w:t xml:space="preserve">further general encouragement </w:t>
      </w:r>
      <w:r w:rsidR="00635B40" w:rsidRPr="0003060E">
        <w:rPr>
          <w:rFonts w:asciiTheme="minorHAnsi" w:hAnsiTheme="minorHAnsi" w:cstheme="minorHAnsi"/>
          <w:color w:val="000000"/>
        </w:rPr>
        <w:t>for Arb-Med</w:t>
      </w:r>
      <w:r w:rsidRPr="0003060E">
        <w:rPr>
          <w:rFonts w:asciiTheme="minorHAnsi" w:hAnsiTheme="minorHAnsi" w:cstheme="minorHAnsi"/>
          <w:color w:val="000000"/>
        </w:rPr>
        <w:t xml:space="preserve">, </w:t>
      </w:r>
      <w:r w:rsidR="00F02876" w:rsidRPr="0003060E">
        <w:rPr>
          <w:rFonts w:asciiTheme="minorHAnsi" w:hAnsiTheme="minorHAnsi" w:cstheme="minorHAnsi"/>
          <w:color w:val="000000"/>
        </w:rPr>
        <w:t>and</w:t>
      </w:r>
      <w:r w:rsidR="00635B40" w:rsidRPr="0003060E">
        <w:rPr>
          <w:rFonts w:asciiTheme="minorHAnsi" w:hAnsiTheme="minorHAnsi" w:cstheme="minorHAnsi"/>
          <w:color w:val="000000"/>
        </w:rPr>
        <w:t xml:space="preserve"> related</w:t>
      </w:r>
      <w:r w:rsidR="00F02876" w:rsidRPr="0003060E">
        <w:rPr>
          <w:rFonts w:asciiTheme="minorHAnsi" w:hAnsiTheme="minorHAnsi" w:cstheme="minorHAnsi"/>
          <w:color w:val="000000"/>
        </w:rPr>
        <w:t xml:space="preserve"> strategies to address problems of costs and delays in IA.</w:t>
      </w:r>
      <w:r w:rsidR="00F02876" w:rsidRPr="0003060E">
        <w:rPr>
          <w:rStyle w:val="FootnoteReference"/>
          <w:rFonts w:asciiTheme="minorHAnsi" w:hAnsiTheme="minorHAnsi" w:cstheme="minorHAnsi"/>
          <w:color w:val="000000"/>
        </w:rPr>
        <w:footnoteReference w:id="100"/>
      </w:r>
    </w:p>
    <w:p w14:paraId="1730EEFF" w14:textId="3E4A0ABB" w:rsidR="00D2518D" w:rsidRPr="0003060E" w:rsidRDefault="00F02876" w:rsidP="00E76D41">
      <w:pPr>
        <w:spacing w:before="120"/>
        <w:jc w:val="both"/>
        <w:rPr>
          <w:rFonts w:asciiTheme="minorHAnsi" w:hAnsiTheme="minorHAnsi" w:cstheme="minorHAnsi"/>
          <w:color w:val="000000"/>
        </w:rPr>
      </w:pPr>
      <w:r w:rsidRPr="0003060E">
        <w:rPr>
          <w:rFonts w:asciiTheme="minorHAnsi" w:hAnsiTheme="minorHAnsi" w:cstheme="minorHAnsi"/>
          <w:color w:val="000000"/>
        </w:rPr>
        <w:t xml:space="preserve">Overall, </w:t>
      </w:r>
      <w:r w:rsidR="00635B40" w:rsidRPr="0003060E">
        <w:rPr>
          <w:rFonts w:asciiTheme="minorHAnsi" w:hAnsiTheme="minorHAnsi" w:cstheme="minorHAnsi"/>
          <w:color w:val="000000"/>
        </w:rPr>
        <w:t>therefore, despite the promise of developing</w:t>
      </w:r>
      <w:r w:rsidR="00E76D41" w:rsidRPr="0003060E">
        <w:rPr>
          <w:rFonts w:asciiTheme="minorHAnsi" w:hAnsiTheme="minorHAnsi" w:cstheme="minorHAnsi"/>
          <w:color w:val="000000"/>
        </w:rPr>
        <w:t xml:space="preserve"> same-neutral</w:t>
      </w:r>
      <w:r w:rsidR="00635B40" w:rsidRPr="0003060E">
        <w:rPr>
          <w:rFonts w:asciiTheme="minorHAnsi" w:hAnsiTheme="minorHAnsi" w:cstheme="minorHAnsi"/>
          <w:color w:val="000000"/>
        </w:rPr>
        <w:t xml:space="preserve"> Arb-Med particularly as IA has spread East from traditional Western core</w:t>
      </w:r>
      <w:r w:rsidR="00E76D41" w:rsidRPr="0003060E">
        <w:rPr>
          <w:rFonts w:asciiTheme="minorHAnsi" w:hAnsiTheme="minorHAnsi" w:cstheme="minorHAnsi"/>
          <w:color w:val="000000"/>
        </w:rPr>
        <w:t xml:space="preserve"> (described in Part 2 above)</w:t>
      </w:r>
      <w:r w:rsidR="00635B40" w:rsidRPr="0003060E">
        <w:rPr>
          <w:rFonts w:asciiTheme="minorHAnsi" w:hAnsiTheme="minorHAnsi" w:cstheme="minorHAnsi"/>
          <w:color w:val="000000"/>
        </w:rPr>
        <w:t>, it has not borne much fruit.</w:t>
      </w:r>
      <w:r w:rsidR="00FA397B" w:rsidRPr="0003060E">
        <w:rPr>
          <w:rStyle w:val="FootnoteReference"/>
          <w:rFonts w:asciiTheme="minorHAnsi" w:hAnsiTheme="minorHAnsi" w:cstheme="minorHAnsi"/>
          <w:color w:val="000000"/>
        </w:rPr>
        <w:footnoteReference w:id="101"/>
      </w:r>
      <w:r w:rsidR="00635B40" w:rsidRPr="0003060E">
        <w:rPr>
          <w:rFonts w:asciiTheme="minorHAnsi" w:hAnsiTheme="minorHAnsi" w:cstheme="minorHAnsi"/>
          <w:color w:val="000000"/>
        </w:rPr>
        <w:t xml:space="preserve"> </w:t>
      </w:r>
      <w:r w:rsidR="00E76D41" w:rsidRPr="0003060E">
        <w:rPr>
          <w:rFonts w:asciiTheme="minorHAnsi" w:hAnsiTheme="minorHAnsi" w:cstheme="minorHAnsi"/>
          <w:color w:val="000000"/>
        </w:rPr>
        <w:t>This tracks the renewed formalisation of IA (outlined in Part 3), including the growing numbers of challenges concerning arbitrator neutrality.</w:t>
      </w:r>
      <w:r w:rsidR="00E76D41" w:rsidRPr="0003060E">
        <w:rPr>
          <w:rStyle w:val="FootnoteReference"/>
          <w:rFonts w:asciiTheme="minorHAnsi" w:hAnsiTheme="minorHAnsi" w:cstheme="minorHAnsi"/>
          <w:color w:val="000000"/>
        </w:rPr>
        <w:footnoteReference w:id="102"/>
      </w:r>
      <w:r w:rsidR="00E76D41" w:rsidRPr="0003060E">
        <w:rPr>
          <w:rFonts w:asciiTheme="minorHAnsi" w:hAnsiTheme="minorHAnsi" w:cstheme="minorHAnsi"/>
          <w:color w:val="000000"/>
        </w:rPr>
        <w:t xml:space="preserve"> </w:t>
      </w:r>
      <w:r w:rsidR="00635B40" w:rsidRPr="0003060E">
        <w:rPr>
          <w:rFonts w:asciiTheme="minorHAnsi" w:hAnsiTheme="minorHAnsi" w:cstheme="minorHAnsi"/>
          <w:color w:val="000000"/>
        </w:rPr>
        <w:t>Mainland China remains the only major jurisdiction for IA where Arb-Med is actively encouraged and practiced – probably still in a large m</w:t>
      </w:r>
      <w:r w:rsidR="005A19DB" w:rsidRPr="0003060E">
        <w:rPr>
          <w:rFonts w:asciiTheme="minorHAnsi" w:hAnsiTheme="minorHAnsi" w:cstheme="minorHAnsi"/>
          <w:color w:val="000000"/>
        </w:rPr>
        <w:t>inority</w:t>
      </w:r>
      <w:r w:rsidR="00635B40" w:rsidRPr="0003060E">
        <w:rPr>
          <w:rFonts w:asciiTheme="minorHAnsi" w:hAnsiTheme="minorHAnsi" w:cstheme="minorHAnsi"/>
          <w:color w:val="000000"/>
        </w:rPr>
        <w:t xml:space="preserve"> of cases.</w:t>
      </w:r>
      <w:r w:rsidR="00C872CA" w:rsidRPr="0003060E">
        <w:rPr>
          <w:rStyle w:val="FootnoteReference"/>
          <w:rFonts w:asciiTheme="minorHAnsi" w:hAnsiTheme="minorHAnsi" w:cstheme="minorHAnsi"/>
          <w:color w:val="000000"/>
        </w:rPr>
        <w:footnoteReference w:id="103"/>
      </w:r>
      <w:r w:rsidR="00635B40" w:rsidRPr="0003060E">
        <w:rPr>
          <w:rFonts w:asciiTheme="minorHAnsi" w:hAnsiTheme="minorHAnsi" w:cstheme="minorHAnsi"/>
          <w:color w:val="000000"/>
        </w:rPr>
        <w:t xml:space="preserve"> Even in the largest institution, CIETAC, amendments to its Rules have allowed the institution’s staff to be agreed upon for Arb-Med rather than the arbitrators (Art</w:t>
      </w:r>
      <w:r w:rsidR="00545E99" w:rsidRPr="0003060E">
        <w:rPr>
          <w:rFonts w:asciiTheme="minorHAnsi" w:hAnsiTheme="minorHAnsi" w:cstheme="minorHAnsi"/>
          <w:color w:val="000000"/>
        </w:rPr>
        <w:t xml:space="preserve"> 43 </w:t>
      </w:r>
      <w:r w:rsidR="00C872CA" w:rsidRPr="0003060E">
        <w:rPr>
          <w:rFonts w:asciiTheme="minorHAnsi" w:hAnsiTheme="minorHAnsi" w:cstheme="minorHAnsi"/>
          <w:color w:val="000000"/>
        </w:rPr>
        <w:t>of the CIETAC Arbitration Rules</w:t>
      </w:r>
      <w:r w:rsidR="00635B40" w:rsidRPr="0003060E">
        <w:rPr>
          <w:rFonts w:asciiTheme="minorHAnsi" w:hAnsiTheme="minorHAnsi" w:cstheme="minorHAnsi"/>
          <w:color w:val="000000"/>
        </w:rPr>
        <w:t>), and for the arbitration to be suspended while mediation is attempted (</w:t>
      </w:r>
      <w:r w:rsidR="00491884" w:rsidRPr="0003060E">
        <w:rPr>
          <w:rFonts w:asciiTheme="minorHAnsi" w:hAnsiTheme="minorHAnsi" w:cstheme="minorHAnsi"/>
          <w:color w:val="000000"/>
        </w:rPr>
        <w:t>i.e.</w:t>
      </w:r>
      <w:r w:rsidR="00CF53F7" w:rsidRPr="0003060E">
        <w:rPr>
          <w:rFonts w:asciiTheme="minorHAnsi" w:hAnsiTheme="minorHAnsi" w:cstheme="minorHAnsi"/>
          <w:color w:val="000000"/>
        </w:rPr>
        <w:t xml:space="preserve"> </w:t>
      </w:r>
      <w:r w:rsidR="00635B40" w:rsidRPr="0003060E">
        <w:rPr>
          <w:rFonts w:asciiTheme="minorHAnsi" w:hAnsiTheme="minorHAnsi" w:cstheme="minorHAnsi"/>
          <w:color w:val="000000"/>
        </w:rPr>
        <w:t>separately).</w:t>
      </w:r>
      <w:r w:rsidR="00C872CA" w:rsidRPr="0003060E">
        <w:rPr>
          <w:rFonts w:asciiTheme="minorHAnsi" w:hAnsiTheme="minorHAnsi" w:cstheme="minorHAnsi"/>
          <w:color w:val="000000"/>
        </w:rPr>
        <w:t xml:space="preserve"> At least until a decade ago, </w:t>
      </w:r>
      <w:r w:rsidR="00C872CA" w:rsidRPr="0003060E">
        <w:rPr>
          <w:rFonts w:asciiTheme="minorHAnsi" w:hAnsiTheme="minorHAnsi" w:cstheme="minorHAnsi"/>
          <w:color w:val="000000"/>
        </w:rPr>
        <w:lastRenderedPageBreak/>
        <w:t xml:space="preserve">arbitration through the JCAA often involved Arb-Med – especially when parties or counsel came from Japan or other civil law jurisdictions – but it is premised on clearer advance consent. The JCAA and other newer arbitration institutions are not actively promoting Arb-Med as a selling point for their services, although specific techniques for pro-active settlement facilitation by the tribunal are incorporated into the JCAA’s 2019 Interactive Arbitration Rules outlined above (Part 3). </w:t>
      </w:r>
    </w:p>
    <w:p w14:paraId="00F91C52" w14:textId="47C502E4" w:rsidR="00F02876" w:rsidRPr="0003060E" w:rsidRDefault="00C872CA" w:rsidP="00E76D41">
      <w:pPr>
        <w:spacing w:before="120"/>
        <w:jc w:val="both"/>
        <w:rPr>
          <w:rFonts w:asciiTheme="minorHAnsi" w:hAnsiTheme="minorHAnsi" w:cstheme="minorHAnsi"/>
          <w:color w:val="000000"/>
        </w:rPr>
      </w:pPr>
      <w:r w:rsidRPr="0003060E">
        <w:rPr>
          <w:rFonts w:asciiTheme="minorHAnsi" w:hAnsiTheme="minorHAnsi" w:cstheme="minorHAnsi"/>
          <w:color w:val="000000"/>
        </w:rPr>
        <w:t>In Taiwan, despite a significant tradition of court-annexed mediation and the expansion of other hybrid dispute resolution mechanisms, it seems that the Chinese Arbitration Association International neither encourages nor discourages Arb-Med by tribunals.</w:t>
      </w:r>
      <w:r w:rsidRPr="0003060E">
        <w:rPr>
          <w:rStyle w:val="FootnoteReference"/>
          <w:rFonts w:asciiTheme="minorHAnsi" w:hAnsiTheme="minorHAnsi" w:cstheme="minorHAnsi"/>
          <w:color w:val="000000"/>
        </w:rPr>
        <w:footnoteReference w:id="104"/>
      </w:r>
      <w:r w:rsidRPr="0003060E">
        <w:rPr>
          <w:rFonts w:asciiTheme="minorHAnsi" w:hAnsiTheme="minorHAnsi" w:cstheme="minorHAnsi"/>
          <w:color w:val="000000"/>
        </w:rPr>
        <w:t xml:space="preserve"> It is also not provided for or mentioned in the</w:t>
      </w:r>
      <w:r w:rsidR="00D2518D" w:rsidRPr="0003060E">
        <w:rPr>
          <w:rFonts w:asciiTheme="minorHAnsi" w:hAnsiTheme="minorHAnsi" w:cstheme="minorHAnsi"/>
          <w:color w:val="000000"/>
        </w:rPr>
        <w:t xml:space="preserve"> Rules and/or comparatively</w:t>
      </w:r>
      <w:r w:rsidRPr="0003060E">
        <w:rPr>
          <w:rFonts w:asciiTheme="minorHAnsi" w:hAnsiTheme="minorHAnsi" w:cstheme="minorHAnsi"/>
          <w:color w:val="000000"/>
        </w:rPr>
        <w:t xml:space="preserve"> successful promotional efforts by the </w:t>
      </w:r>
      <w:r w:rsidR="00CF53F7" w:rsidRPr="0003060E">
        <w:rPr>
          <w:rFonts w:asciiTheme="minorHAnsi" w:hAnsiTheme="minorHAnsi" w:cstheme="minorHAnsi"/>
          <w:color w:val="000000"/>
        </w:rPr>
        <w:t>KCAB</w:t>
      </w:r>
      <w:r w:rsidRPr="0003060E">
        <w:rPr>
          <w:rFonts w:asciiTheme="minorHAnsi" w:hAnsiTheme="minorHAnsi" w:cstheme="minorHAnsi"/>
          <w:color w:val="000000"/>
        </w:rPr>
        <w:t>, and more recently the Seoul International Dispute Resolution Center</w:t>
      </w:r>
      <w:r w:rsidR="00D2518D" w:rsidRPr="0003060E">
        <w:rPr>
          <w:rFonts w:asciiTheme="minorHAnsi" w:hAnsiTheme="minorHAnsi" w:cstheme="minorHAnsi"/>
          <w:color w:val="000000"/>
        </w:rPr>
        <w:t>. This is despite one commentator writing in 2</w:t>
      </w:r>
      <w:r w:rsidR="00F94672" w:rsidRPr="0003060E">
        <w:rPr>
          <w:rFonts w:asciiTheme="minorHAnsi" w:hAnsiTheme="minorHAnsi" w:cstheme="minorHAnsi"/>
          <w:color w:val="000000"/>
        </w:rPr>
        <w:t>022</w:t>
      </w:r>
      <w:r w:rsidR="00D2518D" w:rsidRPr="0003060E">
        <w:rPr>
          <w:rFonts w:asciiTheme="minorHAnsi" w:hAnsiTheme="minorHAnsi" w:cstheme="minorHAnsi"/>
          <w:color w:val="000000"/>
        </w:rPr>
        <w:t xml:space="preserve"> that the KCAB itself quite often provided informal settlement facilitation (</w:t>
      </w:r>
      <w:proofErr w:type="spellStart"/>
      <w:r w:rsidR="00D2518D" w:rsidRPr="0003060E">
        <w:rPr>
          <w:rFonts w:asciiTheme="minorHAnsi" w:hAnsiTheme="minorHAnsi" w:cstheme="minorHAnsi"/>
          <w:i/>
          <w:iCs/>
          <w:color w:val="000000"/>
        </w:rPr>
        <w:t>a</w:t>
      </w:r>
      <w:r w:rsidR="00F94672" w:rsidRPr="0003060E">
        <w:rPr>
          <w:rFonts w:asciiTheme="minorHAnsi" w:hAnsiTheme="minorHAnsi" w:cstheme="minorHAnsi"/>
          <w:i/>
          <w:iCs/>
          <w:color w:val="000000"/>
        </w:rPr>
        <w:t>l</w:t>
      </w:r>
      <w:r w:rsidR="00D2518D" w:rsidRPr="0003060E">
        <w:rPr>
          <w:rFonts w:asciiTheme="minorHAnsi" w:hAnsiTheme="minorHAnsi" w:cstheme="minorHAnsi"/>
          <w:i/>
          <w:iCs/>
          <w:color w:val="000000"/>
        </w:rPr>
        <w:t>seon</w:t>
      </w:r>
      <w:proofErr w:type="spellEnd"/>
      <w:r w:rsidR="00D2518D" w:rsidRPr="0003060E">
        <w:rPr>
          <w:rFonts w:asciiTheme="minorHAnsi" w:hAnsiTheme="minorHAnsi" w:cstheme="minorHAnsi"/>
          <w:color w:val="000000"/>
        </w:rPr>
        <w:t>)</w:t>
      </w:r>
      <w:r w:rsidR="00DC7B0C" w:rsidRPr="0003060E">
        <w:rPr>
          <w:rFonts w:asciiTheme="minorHAnsi" w:hAnsiTheme="minorHAnsi" w:cstheme="minorHAnsi"/>
          <w:color w:val="000000"/>
        </w:rPr>
        <w:t xml:space="preserve"> </w:t>
      </w:r>
      <w:r w:rsidR="00D2518D" w:rsidRPr="0003060E">
        <w:rPr>
          <w:rFonts w:asciiTheme="minorHAnsi" w:hAnsiTheme="minorHAnsi" w:cstheme="minorHAnsi"/>
          <w:color w:val="000000"/>
        </w:rPr>
        <w:t>before formal arbitration proceeds</w:t>
      </w:r>
      <w:r w:rsidR="00F94672" w:rsidRPr="0003060E">
        <w:rPr>
          <w:rFonts w:asciiTheme="minorHAnsi" w:hAnsiTheme="minorHAnsi" w:cstheme="minorHAnsi"/>
          <w:color w:val="000000"/>
        </w:rPr>
        <w:t>,</w:t>
      </w:r>
      <w:r w:rsidR="00D2518D" w:rsidRPr="0003060E">
        <w:rPr>
          <w:rStyle w:val="FootnoteReference"/>
          <w:rFonts w:asciiTheme="minorHAnsi" w:hAnsiTheme="minorHAnsi" w:cstheme="minorHAnsi"/>
          <w:color w:val="000000"/>
        </w:rPr>
        <w:footnoteReference w:id="105"/>
      </w:r>
      <w:r w:rsidR="00D2518D" w:rsidRPr="0003060E">
        <w:rPr>
          <w:rFonts w:asciiTheme="minorHAnsi" w:hAnsiTheme="minorHAnsi" w:cstheme="minorHAnsi"/>
          <w:color w:val="000000"/>
        </w:rPr>
        <w:t xml:space="preserve"> </w:t>
      </w:r>
      <w:r w:rsidR="00F94672" w:rsidRPr="0003060E">
        <w:rPr>
          <w:rFonts w:asciiTheme="minorHAnsi" w:hAnsiTheme="minorHAnsi" w:cstheme="minorHAnsi"/>
          <w:color w:val="000000"/>
        </w:rPr>
        <w:t xml:space="preserve">particularly for domestic cases and with the practice declining for international arbitrations especially in recent years. </w:t>
      </w:r>
      <w:r w:rsidR="00D2518D" w:rsidRPr="0003060E">
        <w:rPr>
          <w:rFonts w:asciiTheme="minorHAnsi" w:hAnsiTheme="minorHAnsi" w:cstheme="minorHAnsi"/>
          <w:color w:val="000000"/>
        </w:rPr>
        <w:t>Arb-Med by the same third-party neutral is seemingly not practised in Hong Kong or Singapore, and rarely in Australia even in domestic arbitrations</w:t>
      </w:r>
      <w:r w:rsidR="00F40773" w:rsidRPr="0003060E">
        <w:rPr>
          <w:rFonts w:asciiTheme="minorHAnsi" w:hAnsiTheme="minorHAnsi" w:cstheme="minorHAnsi"/>
          <w:color w:val="000000"/>
        </w:rPr>
        <w:t xml:space="preserve">, but </w:t>
      </w:r>
      <w:r w:rsidR="00EC0E4B" w:rsidRPr="0003060E">
        <w:rPr>
          <w:rFonts w:asciiTheme="minorHAnsi" w:hAnsiTheme="minorHAnsi" w:cstheme="minorHAnsi"/>
          <w:color w:val="000000"/>
        </w:rPr>
        <w:t>remains pervasive</w:t>
      </w:r>
      <w:r w:rsidR="00F40773" w:rsidRPr="0003060E">
        <w:rPr>
          <w:rFonts w:asciiTheme="minorHAnsi" w:hAnsiTheme="minorHAnsi" w:cstheme="minorHAnsi"/>
          <w:color w:val="000000"/>
        </w:rPr>
        <w:t xml:space="preserve"> in jurisdictions following the German tradition (</w:t>
      </w:r>
      <w:r w:rsidR="00EC0E4B" w:rsidRPr="0003060E">
        <w:rPr>
          <w:rFonts w:asciiTheme="minorHAnsi" w:hAnsiTheme="minorHAnsi" w:cstheme="minorHAnsi"/>
          <w:color w:val="000000"/>
        </w:rPr>
        <w:t>albeit</w:t>
      </w:r>
      <w:r w:rsidR="00F40773" w:rsidRPr="0003060E">
        <w:rPr>
          <w:rFonts w:asciiTheme="minorHAnsi" w:hAnsiTheme="minorHAnsi" w:cstheme="minorHAnsi"/>
          <w:color w:val="000000"/>
        </w:rPr>
        <w:t xml:space="preserve"> without caucusing).</w:t>
      </w:r>
    </w:p>
    <w:p w14:paraId="4D0468B5" w14:textId="44D120AB" w:rsidR="00E76D41" w:rsidRPr="0003060E" w:rsidRDefault="00F40773" w:rsidP="00E76D41">
      <w:pPr>
        <w:spacing w:before="120"/>
        <w:jc w:val="both"/>
        <w:rPr>
          <w:rFonts w:asciiTheme="minorHAnsi" w:hAnsiTheme="minorHAnsi" w:cstheme="minorHAnsi"/>
          <w:color w:val="000000"/>
        </w:rPr>
      </w:pPr>
      <w:r w:rsidRPr="0003060E">
        <w:rPr>
          <w:rFonts w:asciiTheme="minorHAnsi" w:hAnsiTheme="minorHAnsi" w:cstheme="minorHAnsi"/>
          <w:color w:val="000000"/>
        </w:rPr>
        <w:t xml:space="preserve">Perhaps due to Arb-Med </w:t>
      </w:r>
      <w:r w:rsidR="00AB3629" w:rsidRPr="0003060E">
        <w:rPr>
          <w:rFonts w:asciiTheme="minorHAnsi" w:hAnsiTheme="minorHAnsi" w:cstheme="minorHAnsi"/>
          <w:color w:val="000000"/>
        </w:rPr>
        <w:t xml:space="preserve">accordingly </w:t>
      </w:r>
      <w:r w:rsidRPr="0003060E">
        <w:rPr>
          <w:rFonts w:asciiTheme="minorHAnsi" w:hAnsiTheme="minorHAnsi" w:cstheme="minorHAnsi"/>
          <w:color w:val="000000"/>
        </w:rPr>
        <w:t xml:space="preserve">not spreading much world-wide, there </w:t>
      </w:r>
      <w:r w:rsidR="00850028" w:rsidRPr="0003060E">
        <w:rPr>
          <w:rFonts w:asciiTheme="minorHAnsi" w:hAnsiTheme="minorHAnsi" w:cstheme="minorHAnsi"/>
          <w:color w:val="000000"/>
        </w:rPr>
        <w:t>has</w:t>
      </w:r>
      <w:r w:rsidRPr="0003060E">
        <w:rPr>
          <w:rFonts w:asciiTheme="minorHAnsi" w:hAnsiTheme="minorHAnsi" w:cstheme="minorHAnsi"/>
          <w:color w:val="000000"/>
        </w:rPr>
        <w:t xml:space="preserve"> also been little cross-over or even discussion of its potential in ISA.</w:t>
      </w:r>
      <w:r w:rsidRPr="0003060E">
        <w:rPr>
          <w:rStyle w:val="FootnoteReference"/>
          <w:rFonts w:asciiTheme="minorHAnsi" w:hAnsiTheme="minorHAnsi" w:cstheme="minorHAnsi"/>
          <w:color w:val="000000"/>
        </w:rPr>
        <w:footnoteReference w:id="106"/>
      </w:r>
      <w:r w:rsidRPr="0003060E">
        <w:rPr>
          <w:rFonts w:asciiTheme="minorHAnsi" w:hAnsiTheme="minorHAnsi" w:cstheme="minorHAnsi"/>
          <w:color w:val="000000"/>
        </w:rPr>
        <w:t xml:space="preserve"> Another reason for that could be the greater amounts in dispute and complexity or growing political ramifications of cross-border investor-state claims. Nonetheless, a significant proportion of ISDS arbitrations involve SMEs</w:t>
      </w:r>
      <w:r w:rsidR="00AB3629" w:rsidRPr="0003060E">
        <w:rPr>
          <w:rFonts w:asciiTheme="minorHAnsi" w:hAnsiTheme="minorHAnsi" w:cstheme="minorHAnsi"/>
          <w:color w:val="000000"/>
        </w:rPr>
        <w:t>.</w:t>
      </w:r>
      <w:r w:rsidRPr="0003060E">
        <w:rPr>
          <w:rStyle w:val="FootnoteReference"/>
          <w:rFonts w:asciiTheme="minorHAnsi" w:hAnsiTheme="minorHAnsi" w:cstheme="minorHAnsi"/>
          <w:color w:val="000000"/>
        </w:rPr>
        <w:footnoteReference w:id="107"/>
      </w:r>
      <w:r w:rsidRPr="0003060E">
        <w:rPr>
          <w:rFonts w:asciiTheme="minorHAnsi" w:hAnsiTheme="minorHAnsi" w:cstheme="minorHAnsi"/>
          <w:color w:val="000000"/>
        </w:rPr>
        <w:t xml:space="preserve"> </w:t>
      </w:r>
      <w:r w:rsidR="00AB3629" w:rsidRPr="0003060E">
        <w:rPr>
          <w:rFonts w:asciiTheme="minorHAnsi" w:hAnsiTheme="minorHAnsi" w:cstheme="minorHAnsi"/>
          <w:color w:val="000000"/>
        </w:rPr>
        <w:t>T</w:t>
      </w:r>
      <w:r w:rsidRPr="0003060E">
        <w:rPr>
          <w:rFonts w:asciiTheme="minorHAnsi" w:hAnsiTheme="minorHAnsi" w:cstheme="minorHAnsi"/>
          <w:color w:val="000000"/>
        </w:rPr>
        <w:t>hey</w:t>
      </w:r>
      <w:r w:rsidR="00AB3629" w:rsidRPr="0003060E">
        <w:rPr>
          <w:rFonts w:asciiTheme="minorHAnsi" w:hAnsiTheme="minorHAnsi" w:cstheme="minorHAnsi"/>
          <w:color w:val="000000"/>
        </w:rPr>
        <w:t>,</w:t>
      </w:r>
      <w:r w:rsidRPr="0003060E">
        <w:rPr>
          <w:rFonts w:asciiTheme="minorHAnsi" w:hAnsiTheme="minorHAnsi" w:cstheme="minorHAnsi"/>
          <w:color w:val="000000"/>
        </w:rPr>
        <w:t xml:space="preserve"> or smaller-value disputes even involving larger firms or host states with small economies and budgets for lawyers</w:t>
      </w:r>
      <w:r w:rsidR="00AB3629" w:rsidRPr="0003060E">
        <w:rPr>
          <w:rFonts w:asciiTheme="minorHAnsi" w:hAnsiTheme="minorHAnsi" w:cstheme="minorHAnsi"/>
          <w:color w:val="000000"/>
        </w:rPr>
        <w:t>,</w:t>
      </w:r>
      <w:r w:rsidRPr="0003060E">
        <w:rPr>
          <w:rFonts w:asciiTheme="minorHAnsi" w:hAnsiTheme="minorHAnsi" w:cstheme="minorHAnsi"/>
          <w:color w:val="000000"/>
        </w:rPr>
        <w:t xml:space="preserve"> may still find Arb-Med to have some attractions</w:t>
      </w:r>
      <w:r w:rsidR="00AB3629" w:rsidRPr="0003060E">
        <w:rPr>
          <w:rFonts w:asciiTheme="minorHAnsi" w:hAnsiTheme="minorHAnsi" w:cstheme="minorHAnsi"/>
          <w:color w:val="000000"/>
        </w:rPr>
        <w:t xml:space="preserve"> even in ISA</w:t>
      </w:r>
      <w:r w:rsidRPr="0003060E">
        <w:rPr>
          <w:rFonts w:asciiTheme="minorHAnsi" w:hAnsiTheme="minorHAnsi" w:cstheme="minorHAnsi"/>
          <w:color w:val="000000"/>
        </w:rPr>
        <w:t>.</w:t>
      </w:r>
    </w:p>
    <w:p w14:paraId="7603F56C" w14:textId="4C3BF296" w:rsidR="00D2518D" w:rsidRPr="0003060E" w:rsidRDefault="00D2518D" w:rsidP="00E76D41">
      <w:pPr>
        <w:spacing w:before="120"/>
        <w:jc w:val="both"/>
        <w:rPr>
          <w:rFonts w:asciiTheme="minorHAnsi" w:hAnsiTheme="minorHAnsi" w:cstheme="minorHAnsi"/>
          <w:b/>
          <w:bCs/>
        </w:rPr>
      </w:pPr>
      <w:r w:rsidRPr="0003060E">
        <w:rPr>
          <w:rFonts w:asciiTheme="minorHAnsi" w:hAnsiTheme="minorHAnsi" w:cstheme="minorHAnsi"/>
          <w:b/>
          <w:bCs/>
          <w:color w:val="000000"/>
        </w:rPr>
        <w:t xml:space="preserve">5. </w:t>
      </w:r>
      <w:r w:rsidRPr="0003060E">
        <w:rPr>
          <w:rFonts w:asciiTheme="minorHAnsi" w:hAnsiTheme="minorHAnsi" w:cstheme="minorHAnsi"/>
          <w:b/>
          <w:bCs/>
        </w:rPr>
        <w:t>The Rise of Multi-tiered Dispute Resolution Clauses</w:t>
      </w:r>
    </w:p>
    <w:p w14:paraId="55D1FEAA" w14:textId="257D0A43" w:rsidR="007B6C52" w:rsidRPr="0003060E" w:rsidRDefault="0057078B" w:rsidP="00E76D41">
      <w:pPr>
        <w:autoSpaceDE w:val="0"/>
        <w:autoSpaceDN w:val="0"/>
        <w:adjustRightInd w:val="0"/>
        <w:spacing w:before="120"/>
        <w:jc w:val="both"/>
        <w:rPr>
          <w:rFonts w:asciiTheme="minorHAnsi" w:hAnsiTheme="minorHAnsi" w:cstheme="minorHAnsi"/>
          <w:color w:val="231F20"/>
        </w:rPr>
      </w:pPr>
      <w:r w:rsidRPr="0003060E">
        <w:rPr>
          <w:rFonts w:asciiTheme="minorHAnsi" w:hAnsiTheme="minorHAnsi" w:cstheme="minorHAnsi"/>
          <w:color w:val="000000"/>
        </w:rPr>
        <w:t>In contrast to the fall or at least stagnation in Arb-Med</w:t>
      </w:r>
      <w:r w:rsidR="00F40773" w:rsidRPr="0003060E">
        <w:rPr>
          <w:rFonts w:asciiTheme="minorHAnsi" w:hAnsiTheme="minorHAnsi" w:cstheme="minorHAnsi"/>
          <w:color w:val="000000"/>
        </w:rPr>
        <w:t xml:space="preserve">, the </w:t>
      </w:r>
      <w:r w:rsidRPr="0003060E">
        <w:rPr>
          <w:rFonts w:asciiTheme="minorHAnsi" w:hAnsiTheme="minorHAnsi" w:cstheme="minorHAnsi"/>
          <w:color w:val="000000"/>
        </w:rPr>
        <w:t>use</w:t>
      </w:r>
      <w:r w:rsidR="00F40773" w:rsidRPr="0003060E">
        <w:rPr>
          <w:rFonts w:asciiTheme="minorHAnsi" w:hAnsiTheme="minorHAnsi" w:cstheme="minorHAnsi"/>
          <w:color w:val="000000"/>
        </w:rPr>
        <w:t xml:space="preserve"> of multi-tiered dispute resolution clauses seems to have grown </w:t>
      </w:r>
      <w:r w:rsidR="00F40773" w:rsidRPr="0003060E">
        <w:rPr>
          <w:rFonts w:asciiTheme="minorHAnsi" w:hAnsiTheme="minorHAnsi" w:cstheme="minorHAnsi"/>
        </w:rPr>
        <w:t>significantly over the last 15 years</w:t>
      </w:r>
      <w:r w:rsidRPr="0003060E">
        <w:rPr>
          <w:rFonts w:asciiTheme="minorHAnsi" w:hAnsiTheme="minorHAnsi" w:cstheme="minorHAnsi"/>
        </w:rPr>
        <w:t xml:space="preserve">, </w:t>
      </w:r>
      <w:r w:rsidR="00F40773" w:rsidRPr="0003060E">
        <w:rPr>
          <w:rFonts w:asciiTheme="minorHAnsi" w:hAnsiTheme="minorHAnsi" w:cstheme="minorHAnsi"/>
        </w:rPr>
        <w:t>especially recently</w:t>
      </w:r>
      <w:r w:rsidRPr="0003060E">
        <w:rPr>
          <w:rFonts w:asciiTheme="minorHAnsi" w:hAnsiTheme="minorHAnsi" w:cstheme="minorHAnsi"/>
        </w:rPr>
        <w:t xml:space="preserve"> and at least at an aggregate level globally</w:t>
      </w:r>
      <w:r w:rsidR="00F40773" w:rsidRPr="0003060E">
        <w:rPr>
          <w:rFonts w:asciiTheme="minorHAnsi" w:hAnsiTheme="minorHAnsi" w:cstheme="minorHAnsi"/>
        </w:rPr>
        <w:t>.</w:t>
      </w:r>
      <w:r w:rsidR="00F40773" w:rsidRPr="0003060E">
        <w:rPr>
          <w:rStyle w:val="FootnoteReference"/>
          <w:rFonts w:asciiTheme="minorHAnsi" w:hAnsiTheme="minorHAnsi" w:cstheme="minorHAnsi"/>
        </w:rPr>
        <w:footnoteReference w:id="108"/>
      </w:r>
      <w:r w:rsidR="00F40773" w:rsidRPr="0003060E">
        <w:rPr>
          <w:rFonts w:asciiTheme="minorHAnsi" w:hAnsiTheme="minorHAnsi" w:cstheme="minorHAnsi"/>
        </w:rPr>
        <w:t xml:space="preserve"> For example, </w:t>
      </w:r>
      <w:r w:rsidRPr="0003060E">
        <w:rPr>
          <w:rFonts w:asciiTheme="minorHAnsi" w:hAnsiTheme="minorHAnsi" w:cstheme="minorHAnsi"/>
        </w:rPr>
        <w:t>in this first QMUL survey</w:t>
      </w:r>
      <w:r w:rsidR="007B6C52" w:rsidRPr="0003060E">
        <w:rPr>
          <w:rFonts w:asciiTheme="minorHAnsi" w:hAnsiTheme="minorHAnsi" w:cstheme="minorHAnsi"/>
        </w:rPr>
        <w:t xml:space="preserve"> report </w:t>
      </w:r>
      <w:r w:rsidR="007B6C52" w:rsidRPr="0003060E">
        <w:rPr>
          <w:rFonts w:asciiTheme="minorHAnsi" w:hAnsiTheme="minorHAnsi" w:cstheme="minorHAnsi"/>
        </w:rPr>
        <w:lastRenderedPageBreak/>
        <w:t>published in 2006</w:t>
      </w:r>
      <w:r w:rsidRPr="0003060E">
        <w:rPr>
          <w:rFonts w:asciiTheme="minorHAnsi" w:hAnsiTheme="minorHAnsi" w:cstheme="minorHAnsi"/>
        </w:rPr>
        <w:t xml:space="preserve">, respondents’ preferred mechanism for resolving international disputes was arbitration alone (29%) or </w:t>
      </w:r>
      <w:r w:rsidR="007B6C52" w:rsidRPr="0003060E">
        <w:rPr>
          <w:rFonts w:asciiTheme="minorHAnsi" w:hAnsiTheme="minorHAnsi" w:cstheme="minorHAnsi"/>
        </w:rPr>
        <w:t>IA with ADR (44%, which the survey designers understood as a “multi-tiered, or escalating, dispute resolution process”.</w:t>
      </w:r>
      <w:r w:rsidR="00F40773" w:rsidRPr="0003060E">
        <w:rPr>
          <w:rStyle w:val="FootnoteReference"/>
          <w:rFonts w:asciiTheme="minorHAnsi" w:hAnsiTheme="minorHAnsi" w:cstheme="minorHAnsi"/>
        </w:rPr>
        <w:footnoteReference w:id="109"/>
      </w:r>
      <w:r w:rsidR="007B6C52" w:rsidRPr="0003060E">
        <w:rPr>
          <w:rFonts w:asciiTheme="minorHAnsi" w:hAnsiTheme="minorHAnsi" w:cstheme="minorHAnsi"/>
        </w:rPr>
        <w:t xml:space="preserve"> In the 2021 </w:t>
      </w:r>
      <w:r w:rsidR="00AB3629" w:rsidRPr="0003060E">
        <w:rPr>
          <w:rFonts w:asciiTheme="minorHAnsi" w:hAnsiTheme="minorHAnsi" w:cstheme="minorHAnsi"/>
        </w:rPr>
        <w:t xml:space="preserve">QMUL </w:t>
      </w:r>
      <w:r w:rsidR="007B6C52" w:rsidRPr="0003060E">
        <w:rPr>
          <w:rFonts w:asciiTheme="minorHAnsi" w:hAnsiTheme="minorHAnsi" w:cstheme="minorHAnsi"/>
        </w:rPr>
        <w:t xml:space="preserve">survey with White &amp; Case, the preferred post-COVID mechanism was IA alone (31%) but mostly IA with ADR (59%). The editors </w:t>
      </w:r>
      <w:r w:rsidR="007B6C52" w:rsidRPr="0003060E">
        <w:rPr>
          <w:rFonts w:asciiTheme="minorHAnsi" w:hAnsiTheme="minorHAnsi" w:cstheme="minorHAnsi"/>
          <w:color w:val="231F20"/>
        </w:rPr>
        <w:t>remarked that this was consistent with a trend observed over the surveys and related interviews, and that:</w:t>
      </w:r>
      <w:r w:rsidR="007B6C52" w:rsidRPr="0003060E">
        <w:rPr>
          <w:rStyle w:val="FootnoteReference"/>
          <w:rFonts w:asciiTheme="minorHAnsi" w:hAnsiTheme="minorHAnsi" w:cstheme="minorHAnsi"/>
          <w:color w:val="231F20"/>
        </w:rPr>
        <w:footnoteReference w:id="110"/>
      </w:r>
      <w:r w:rsidR="007B6C52" w:rsidRPr="0003060E">
        <w:rPr>
          <w:rFonts w:asciiTheme="minorHAnsi" w:hAnsiTheme="minorHAnsi" w:cstheme="minorHAnsi"/>
          <w:color w:val="231F20"/>
        </w:rPr>
        <w:t xml:space="preserve"> </w:t>
      </w:r>
    </w:p>
    <w:p w14:paraId="1B6CB05F" w14:textId="7D6667D8" w:rsidR="007B6C52" w:rsidRPr="0003060E" w:rsidRDefault="007B6C52" w:rsidP="00E76D41">
      <w:pPr>
        <w:autoSpaceDE w:val="0"/>
        <w:autoSpaceDN w:val="0"/>
        <w:adjustRightInd w:val="0"/>
        <w:spacing w:before="120"/>
        <w:ind w:left="720"/>
        <w:jc w:val="both"/>
        <w:rPr>
          <w:rFonts w:asciiTheme="minorHAnsi" w:hAnsiTheme="minorHAnsi" w:cstheme="minorHAnsi"/>
        </w:rPr>
      </w:pPr>
      <w:r w:rsidRPr="0003060E">
        <w:rPr>
          <w:rFonts w:asciiTheme="minorHAnsi" w:hAnsiTheme="minorHAnsi" w:cstheme="minorHAnsi"/>
          <w:color w:val="231F20"/>
        </w:rPr>
        <w:t>“</w:t>
      </w:r>
      <w:proofErr w:type="gramStart"/>
      <w:r w:rsidRPr="0003060E">
        <w:rPr>
          <w:rFonts w:asciiTheme="minorHAnsi" w:hAnsiTheme="minorHAnsi" w:cstheme="minorHAnsi"/>
        </w:rPr>
        <w:t>interviewees</w:t>
      </w:r>
      <w:proofErr w:type="gramEnd"/>
      <w:r w:rsidRPr="0003060E">
        <w:rPr>
          <w:rFonts w:asciiTheme="minorHAnsi" w:hAnsiTheme="minorHAnsi" w:cstheme="minorHAnsi"/>
        </w:rPr>
        <w:t xml:space="preserve"> noted that recourse to ADR was in the hope that a swifter and more cost efficient resolution could be found before resorting to arbitration. In many cases, there is a contractual mandate to use ADR, typically through multi-tiered escalation clauses. Even when there is no contractual requirement to do so, interviewees confirmed a willingness to explore suitable alternatives to resolve disputes. This explains opting for ‘arbitration together with ADR’ for the purposes of this question as opposed to arbitration as a standalone option.”</w:t>
      </w:r>
    </w:p>
    <w:p w14:paraId="527CC449" w14:textId="6C0B2213" w:rsidR="00EC0E4B" w:rsidRPr="0003060E" w:rsidRDefault="007B6C52" w:rsidP="00E76D41">
      <w:pPr>
        <w:autoSpaceDE w:val="0"/>
        <w:autoSpaceDN w:val="0"/>
        <w:adjustRightInd w:val="0"/>
        <w:spacing w:before="120"/>
        <w:jc w:val="both"/>
        <w:rPr>
          <w:rFonts w:asciiTheme="minorHAnsi" w:hAnsiTheme="minorHAnsi" w:cstheme="minorHAnsi"/>
        </w:rPr>
      </w:pPr>
      <w:r w:rsidRPr="0003060E">
        <w:rPr>
          <w:rFonts w:asciiTheme="minorHAnsi" w:hAnsiTheme="minorHAnsi" w:cstheme="minorHAnsi"/>
        </w:rPr>
        <w:t>In other words, the QMUL surveys have not singled out advance consent to med-arb or other multi-tiered dispute resolution</w:t>
      </w:r>
      <w:r w:rsidR="00AB3629" w:rsidRPr="0003060E">
        <w:rPr>
          <w:rFonts w:asciiTheme="minorHAnsi" w:hAnsiTheme="minorHAnsi" w:cstheme="minorHAnsi"/>
        </w:rPr>
        <w:t xml:space="preserve">. Yet </w:t>
      </w:r>
      <w:r w:rsidRPr="0003060E">
        <w:rPr>
          <w:rFonts w:asciiTheme="minorHAnsi" w:hAnsiTheme="minorHAnsi" w:cstheme="minorHAnsi"/>
        </w:rPr>
        <w:t xml:space="preserve">the trajectory and interviews do suggest greater awareness, </w:t>
      </w:r>
      <w:proofErr w:type="gramStart"/>
      <w:r w:rsidRPr="0003060E">
        <w:rPr>
          <w:rFonts w:asciiTheme="minorHAnsi" w:hAnsiTheme="minorHAnsi" w:cstheme="minorHAnsi"/>
        </w:rPr>
        <w:t>preference</w:t>
      </w:r>
      <w:proofErr w:type="gramEnd"/>
      <w:r w:rsidRPr="0003060E">
        <w:rPr>
          <w:rFonts w:asciiTheme="minorHAnsi" w:hAnsiTheme="minorHAnsi" w:cstheme="minorHAnsi"/>
        </w:rPr>
        <w:t xml:space="preserve"> and use of such clauses world-wide.</w:t>
      </w:r>
      <w:r w:rsidR="00EC0E4B" w:rsidRPr="0003060E">
        <w:rPr>
          <w:rFonts w:asciiTheme="minorHAnsi" w:hAnsiTheme="minorHAnsi" w:cstheme="minorHAnsi"/>
        </w:rPr>
        <w:t xml:space="preserve"> This may reflect</w:t>
      </w:r>
      <w:r w:rsidR="008041F2" w:rsidRPr="0003060E">
        <w:rPr>
          <w:rFonts w:asciiTheme="minorHAnsi" w:hAnsiTheme="minorHAnsi" w:cstheme="minorHAnsi"/>
        </w:rPr>
        <w:t xml:space="preserve"> some belated cross-fertilisation of multi-tiered dispute resolution clauses from domestic settings, at least in some countries, including where the government is a counterparty and subject to growing scrutiny from the public (as taxpayers) to minimise burgeoning legal fees and other project-related costs.</w:t>
      </w:r>
      <w:r w:rsidR="008041F2" w:rsidRPr="0003060E">
        <w:rPr>
          <w:rStyle w:val="FootnoteReference"/>
          <w:rFonts w:asciiTheme="minorHAnsi" w:hAnsiTheme="minorHAnsi" w:cstheme="minorHAnsi"/>
        </w:rPr>
        <w:footnoteReference w:id="111"/>
      </w:r>
    </w:p>
    <w:p w14:paraId="2F4F76EB" w14:textId="7B5AEEDB" w:rsidR="00C90374" w:rsidRPr="0003060E" w:rsidRDefault="00C90374" w:rsidP="00E76D41">
      <w:pPr>
        <w:spacing w:before="120"/>
        <w:jc w:val="both"/>
        <w:rPr>
          <w:rFonts w:asciiTheme="minorHAnsi" w:hAnsiTheme="minorHAnsi" w:cstheme="minorHAnsi"/>
          <w:color w:val="000000"/>
        </w:rPr>
      </w:pPr>
      <w:r w:rsidRPr="0003060E">
        <w:rPr>
          <w:rFonts w:asciiTheme="minorHAnsi" w:hAnsiTheme="minorHAnsi" w:cstheme="minorHAnsi"/>
          <w:color w:val="000000"/>
        </w:rPr>
        <w:t xml:space="preserve">There remain concerns that requiring mediation before arbitration may not always be effective, mainly because the parties lack sufficient information to frame settlement negotiations. The question of optimal timing for the mediation will indeed likely depend on the case, as the July 2023 ICC Report suggests. Yet even if initially unsuccessful, the mediator can be kept on call, resuming mediation at a later stage of the arbitral proceedings. This is </w:t>
      </w:r>
      <w:proofErr w:type="gramStart"/>
      <w:r w:rsidRPr="0003060E">
        <w:rPr>
          <w:rFonts w:asciiTheme="minorHAnsi" w:hAnsiTheme="minorHAnsi" w:cstheme="minorHAnsi"/>
          <w:color w:val="000000"/>
        </w:rPr>
        <w:t>similar to</w:t>
      </w:r>
      <w:proofErr w:type="gramEnd"/>
      <w:r w:rsidRPr="0003060E">
        <w:rPr>
          <w:rFonts w:asciiTheme="minorHAnsi" w:hAnsiTheme="minorHAnsi" w:cstheme="minorHAnsi"/>
          <w:color w:val="000000"/>
        </w:rPr>
        <w:t xml:space="preserve"> what the Report calls “ongoing parallel mediation”,</w:t>
      </w:r>
      <w:r w:rsidR="00420529" w:rsidRPr="0003060E">
        <w:rPr>
          <w:rStyle w:val="FootnoteReference"/>
          <w:rFonts w:asciiTheme="minorHAnsi" w:hAnsiTheme="minorHAnsi" w:cstheme="minorHAnsi"/>
          <w:color w:val="000000"/>
        </w:rPr>
        <w:footnoteReference w:id="112"/>
      </w:r>
      <w:r w:rsidRPr="0003060E">
        <w:rPr>
          <w:rFonts w:asciiTheme="minorHAnsi" w:hAnsiTheme="minorHAnsi" w:cstheme="minorHAnsi"/>
          <w:color w:val="000000"/>
        </w:rPr>
        <w:t xml:space="preserve"> with some parallels seen </w:t>
      </w:r>
      <w:r w:rsidR="00420529" w:rsidRPr="0003060E">
        <w:rPr>
          <w:rFonts w:asciiTheme="minorHAnsi" w:hAnsiTheme="minorHAnsi" w:cstheme="minorHAnsi"/>
          <w:color w:val="000000"/>
        </w:rPr>
        <w:t xml:space="preserve">occasionally </w:t>
      </w:r>
      <w:r w:rsidRPr="0003060E">
        <w:rPr>
          <w:rFonts w:asciiTheme="minorHAnsi" w:hAnsiTheme="minorHAnsi" w:cstheme="minorHAnsi"/>
          <w:color w:val="000000"/>
        </w:rPr>
        <w:t xml:space="preserve">in domestic </w:t>
      </w:r>
      <w:r w:rsidR="00420529" w:rsidRPr="0003060E">
        <w:rPr>
          <w:rFonts w:asciiTheme="minorHAnsi" w:hAnsiTheme="minorHAnsi" w:cstheme="minorHAnsi"/>
          <w:color w:val="000000"/>
        </w:rPr>
        <w:t>disputes and very occasionally in international disputes.</w:t>
      </w:r>
      <w:r w:rsidR="00420529" w:rsidRPr="0003060E">
        <w:rPr>
          <w:rStyle w:val="FootnoteReference"/>
          <w:rFonts w:asciiTheme="minorHAnsi" w:hAnsiTheme="minorHAnsi" w:cstheme="minorHAnsi"/>
          <w:color w:val="000000"/>
        </w:rPr>
        <w:footnoteReference w:id="113"/>
      </w:r>
      <w:r w:rsidR="00912AF4" w:rsidRPr="0003060E">
        <w:rPr>
          <w:rFonts w:asciiTheme="minorHAnsi" w:hAnsiTheme="minorHAnsi" w:cstheme="minorHAnsi"/>
          <w:color w:val="000000"/>
        </w:rPr>
        <w:t xml:space="preserve"> </w:t>
      </w:r>
      <w:r w:rsidR="00912AF4" w:rsidRPr="0003060E">
        <w:rPr>
          <w:rFonts w:asciiTheme="minorHAnsi" w:hAnsiTheme="minorHAnsi" w:cstheme="minorHAnsi"/>
          <w:color w:val="000000"/>
        </w:rPr>
        <w:lastRenderedPageBreak/>
        <w:t>Furthermore, even if some mandatory early referrals to mediation fail, some do succeed, which is presumably why we see parties even now in cross-border parties increasingly using multi-tiered dispute resolution clauses.</w:t>
      </w:r>
    </w:p>
    <w:p w14:paraId="65F7059A" w14:textId="5DAC1FDE" w:rsidR="00F40773" w:rsidRPr="0003060E" w:rsidRDefault="00AB3629" w:rsidP="00E76D41">
      <w:pPr>
        <w:spacing w:before="120"/>
        <w:jc w:val="both"/>
        <w:rPr>
          <w:rFonts w:asciiTheme="minorHAnsi" w:hAnsiTheme="minorHAnsi" w:cstheme="minorHAnsi"/>
          <w:color w:val="000000"/>
        </w:rPr>
      </w:pPr>
      <w:r w:rsidRPr="0003060E">
        <w:rPr>
          <w:rFonts w:asciiTheme="minorHAnsi" w:hAnsiTheme="minorHAnsi" w:cstheme="minorHAnsi"/>
          <w:color w:val="000000"/>
        </w:rPr>
        <w:t>Nonetheless</w:t>
      </w:r>
      <w:r w:rsidR="00F40773" w:rsidRPr="0003060E">
        <w:rPr>
          <w:rFonts w:asciiTheme="minorHAnsi" w:hAnsiTheme="minorHAnsi" w:cstheme="minorHAnsi"/>
          <w:color w:val="000000"/>
        </w:rPr>
        <w:t>, here too there remain regional and country-level differences. It seems that med-arb clauses are more typically found in</w:t>
      </w:r>
      <w:r w:rsidR="008F67A5" w:rsidRPr="0003060E">
        <w:rPr>
          <w:rFonts w:asciiTheme="minorHAnsi" w:hAnsiTheme="minorHAnsi" w:cstheme="minorHAnsi"/>
          <w:color w:val="000000"/>
        </w:rPr>
        <w:t xml:space="preserve"> cross-border</w:t>
      </w:r>
      <w:r w:rsidR="00F40773" w:rsidRPr="0003060E">
        <w:rPr>
          <w:rFonts w:asciiTheme="minorHAnsi" w:hAnsiTheme="minorHAnsi" w:cstheme="minorHAnsi"/>
          <w:color w:val="000000"/>
        </w:rPr>
        <w:t xml:space="preserve"> contracts concluded by </w:t>
      </w:r>
      <w:r w:rsidR="008F67A5" w:rsidRPr="0003060E">
        <w:rPr>
          <w:rFonts w:asciiTheme="minorHAnsi" w:hAnsiTheme="minorHAnsi" w:cstheme="minorHAnsi"/>
          <w:color w:val="000000"/>
        </w:rPr>
        <w:t xml:space="preserve">at least one </w:t>
      </w:r>
      <w:r w:rsidR="00F40773" w:rsidRPr="0003060E">
        <w:rPr>
          <w:rFonts w:asciiTheme="minorHAnsi" w:hAnsiTheme="minorHAnsi" w:cstheme="minorHAnsi"/>
          <w:color w:val="000000"/>
        </w:rPr>
        <w:t>part</w:t>
      </w:r>
      <w:r w:rsidR="008F67A5" w:rsidRPr="0003060E">
        <w:rPr>
          <w:rFonts w:asciiTheme="minorHAnsi" w:hAnsiTheme="minorHAnsi" w:cstheme="minorHAnsi"/>
          <w:color w:val="000000"/>
        </w:rPr>
        <w:t>y</w:t>
      </w:r>
      <w:r w:rsidR="00F40773" w:rsidRPr="0003060E">
        <w:rPr>
          <w:rFonts w:asciiTheme="minorHAnsi" w:hAnsiTheme="minorHAnsi" w:cstheme="minorHAnsi"/>
          <w:color w:val="000000"/>
        </w:rPr>
        <w:t xml:space="preserve"> (assisted by local lawyers) </w:t>
      </w:r>
      <w:r w:rsidR="008F67A5" w:rsidRPr="0003060E">
        <w:rPr>
          <w:rFonts w:asciiTheme="minorHAnsi" w:hAnsiTheme="minorHAnsi" w:cstheme="minorHAnsi"/>
          <w:color w:val="000000"/>
        </w:rPr>
        <w:t>from</w:t>
      </w:r>
      <w:r w:rsidR="00F40773" w:rsidRPr="0003060E">
        <w:rPr>
          <w:rFonts w:asciiTheme="minorHAnsi" w:hAnsiTheme="minorHAnsi" w:cstheme="minorHAnsi"/>
          <w:color w:val="000000"/>
        </w:rPr>
        <w:t xml:space="preserve"> jurisdictions </w:t>
      </w:r>
      <w:r w:rsidR="008F67A5" w:rsidRPr="0003060E">
        <w:rPr>
          <w:rFonts w:asciiTheme="minorHAnsi" w:hAnsiTheme="minorHAnsi" w:cstheme="minorHAnsi"/>
          <w:color w:val="000000"/>
        </w:rPr>
        <w:t xml:space="preserve">with now-pervasive practices of </w:t>
      </w:r>
      <w:proofErr w:type="gramStart"/>
      <w:r w:rsidR="008F67A5" w:rsidRPr="0003060E">
        <w:rPr>
          <w:rFonts w:asciiTheme="minorHAnsi" w:hAnsiTheme="minorHAnsi" w:cstheme="minorHAnsi"/>
          <w:color w:val="000000"/>
        </w:rPr>
        <w:t>privately-supplied</w:t>
      </w:r>
      <w:proofErr w:type="gramEnd"/>
      <w:r w:rsidR="008F67A5" w:rsidRPr="0003060E">
        <w:rPr>
          <w:rFonts w:asciiTheme="minorHAnsi" w:hAnsiTheme="minorHAnsi" w:cstheme="minorHAnsi"/>
          <w:color w:val="000000"/>
        </w:rPr>
        <w:t xml:space="preserve"> mediation services (such as Australia, Hong Kong and Singapore</w:t>
      </w:r>
      <w:r w:rsidR="008F67A5" w:rsidRPr="0003060E">
        <w:rPr>
          <w:rStyle w:val="FootnoteReference"/>
          <w:rFonts w:asciiTheme="minorHAnsi" w:hAnsiTheme="minorHAnsi" w:cstheme="minorHAnsi"/>
          <w:color w:val="000000"/>
        </w:rPr>
        <w:footnoteReference w:id="114"/>
      </w:r>
      <w:r w:rsidR="008F67A5" w:rsidRPr="0003060E">
        <w:rPr>
          <w:rFonts w:asciiTheme="minorHAnsi" w:hAnsiTheme="minorHAnsi" w:cstheme="minorHAnsi"/>
          <w:color w:val="000000"/>
        </w:rPr>
        <w:t xml:space="preserve">). This can be contrasted, for example, with a </w:t>
      </w:r>
      <w:r w:rsidR="00DC7B0C" w:rsidRPr="0003060E">
        <w:rPr>
          <w:rFonts w:asciiTheme="minorHAnsi" w:hAnsiTheme="minorHAnsi" w:cstheme="minorHAnsi"/>
          <w:color w:val="000000"/>
        </w:rPr>
        <w:t>Korean</w:t>
      </w:r>
      <w:r w:rsidR="008F67A5" w:rsidRPr="0003060E">
        <w:rPr>
          <w:rFonts w:asciiTheme="minorHAnsi" w:hAnsiTheme="minorHAnsi" w:cstheme="minorHAnsi"/>
          <w:color w:val="000000"/>
        </w:rPr>
        <w:t xml:space="preserve"> survey </w:t>
      </w:r>
      <w:r w:rsidR="00DC7B0C" w:rsidRPr="0003060E">
        <w:rPr>
          <w:rFonts w:asciiTheme="minorHAnsi" w:hAnsiTheme="minorHAnsi" w:cstheme="minorHAnsi"/>
          <w:color w:val="000000"/>
        </w:rPr>
        <w:t>in 2017 inspired by the QMUL studies:</w:t>
      </w:r>
      <w:r w:rsidR="008F67A5" w:rsidRPr="0003060E">
        <w:rPr>
          <w:rFonts w:asciiTheme="minorHAnsi" w:hAnsiTheme="minorHAnsi" w:cstheme="minorHAnsi"/>
          <w:color w:val="000000"/>
        </w:rPr>
        <w:t xml:space="preserve"> only 8% of </w:t>
      </w:r>
      <w:r w:rsidR="00DC7B0C" w:rsidRPr="0003060E">
        <w:rPr>
          <w:rFonts w:asciiTheme="minorHAnsi" w:hAnsiTheme="minorHAnsi" w:cstheme="minorHAnsi"/>
          <w:color w:val="000000"/>
        </w:rPr>
        <w:t xml:space="preserve">respondents (seemingly </w:t>
      </w:r>
      <w:r w:rsidR="008F67A5" w:rsidRPr="0003060E">
        <w:rPr>
          <w:rFonts w:asciiTheme="minorHAnsi" w:hAnsiTheme="minorHAnsi" w:cstheme="minorHAnsi"/>
          <w:color w:val="000000"/>
        </w:rPr>
        <w:t>Korean companies</w:t>
      </w:r>
      <w:r w:rsidR="00DC7B0C" w:rsidRPr="0003060E">
        <w:rPr>
          <w:rFonts w:asciiTheme="minorHAnsi" w:hAnsiTheme="minorHAnsi" w:cstheme="minorHAnsi"/>
          <w:color w:val="000000"/>
        </w:rPr>
        <w:t xml:space="preserve"> in particular)</w:t>
      </w:r>
      <w:r w:rsidR="008F67A5" w:rsidRPr="0003060E">
        <w:rPr>
          <w:rFonts w:asciiTheme="minorHAnsi" w:hAnsiTheme="minorHAnsi" w:cstheme="minorHAnsi"/>
          <w:color w:val="000000"/>
        </w:rPr>
        <w:t xml:space="preserve"> reported </w:t>
      </w:r>
      <w:r w:rsidR="00DC7B0C" w:rsidRPr="0003060E">
        <w:rPr>
          <w:rFonts w:asciiTheme="minorHAnsi" w:hAnsiTheme="minorHAnsi" w:cstheme="minorHAnsi"/>
          <w:color w:val="000000"/>
        </w:rPr>
        <w:t xml:space="preserve">preferring </w:t>
      </w:r>
      <w:r w:rsidR="00524BE9" w:rsidRPr="0003060E">
        <w:rPr>
          <w:rFonts w:asciiTheme="minorHAnsi" w:hAnsiTheme="minorHAnsi" w:cstheme="minorHAnsi"/>
          <w:color w:val="000000"/>
        </w:rPr>
        <w:t xml:space="preserve">using </w:t>
      </w:r>
      <w:r w:rsidR="00DC7B0C" w:rsidRPr="0003060E">
        <w:rPr>
          <w:rFonts w:asciiTheme="minorHAnsi" w:hAnsiTheme="minorHAnsi" w:cstheme="minorHAnsi"/>
          <w:color w:val="000000"/>
        </w:rPr>
        <w:t>‘international arbitration and ADR’ to resolve international disputes</w:t>
      </w:r>
      <w:r w:rsidR="00524BE9" w:rsidRPr="0003060E">
        <w:rPr>
          <w:rFonts w:asciiTheme="minorHAnsi" w:hAnsiTheme="minorHAnsi" w:cstheme="minorHAnsi"/>
          <w:color w:val="000000"/>
        </w:rPr>
        <w:t>.</w:t>
      </w:r>
      <w:r w:rsidR="008F67A5" w:rsidRPr="0003060E">
        <w:rPr>
          <w:rStyle w:val="FootnoteReference"/>
          <w:rFonts w:asciiTheme="minorHAnsi" w:hAnsiTheme="minorHAnsi" w:cstheme="minorHAnsi"/>
          <w:color w:val="000000"/>
        </w:rPr>
        <w:footnoteReference w:id="115"/>
      </w:r>
      <w:r w:rsidR="008F67A5" w:rsidRPr="0003060E">
        <w:rPr>
          <w:rFonts w:asciiTheme="minorHAnsi" w:hAnsiTheme="minorHAnsi" w:cstheme="minorHAnsi"/>
          <w:color w:val="000000"/>
        </w:rPr>
        <w:t xml:space="preserve"> Med-Arb clauses also seem far less commonly proposed or incorporated by parties from Japan, Malaysia, India or China.</w:t>
      </w:r>
      <w:r w:rsidR="008F67A5" w:rsidRPr="0003060E">
        <w:rPr>
          <w:rStyle w:val="FootnoteReference"/>
          <w:rFonts w:asciiTheme="minorHAnsi" w:hAnsiTheme="minorHAnsi" w:cstheme="minorHAnsi"/>
          <w:color w:val="000000"/>
        </w:rPr>
        <w:footnoteReference w:id="116"/>
      </w:r>
      <w:r w:rsidR="008F67A5" w:rsidRPr="0003060E">
        <w:rPr>
          <w:rFonts w:asciiTheme="minorHAnsi" w:hAnsiTheme="minorHAnsi" w:cstheme="minorHAnsi"/>
          <w:color w:val="000000"/>
        </w:rPr>
        <w:t xml:space="preserve"> (However, Japanese firms do often agree to clauses providing first for good faith negotiations, then sometimes arbitration; and, albeit to a lesser extent nowadays than in China, they are familiar with tribunals being authorised to engage in Arb-Med.)</w:t>
      </w:r>
    </w:p>
    <w:p w14:paraId="17C4C562" w14:textId="51F5C172" w:rsidR="008F67A5" w:rsidRPr="0003060E" w:rsidRDefault="008F67A5" w:rsidP="00E76D41">
      <w:pPr>
        <w:spacing w:before="120"/>
        <w:jc w:val="both"/>
        <w:rPr>
          <w:rFonts w:asciiTheme="minorHAnsi" w:hAnsiTheme="minorHAnsi" w:cstheme="minorHAnsi"/>
          <w:color w:val="000000"/>
        </w:rPr>
      </w:pPr>
      <w:r w:rsidRPr="0003060E">
        <w:rPr>
          <w:rFonts w:asciiTheme="minorHAnsi" w:hAnsiTheme="minorHAnsi" w:cstheme="minorHAnsi"/>
          <w:color w:val="000000"/>
        </w:rPr>
        <w:t xml:space="preserve">Such disparities </w:t>
      </w:r>
      <w:r w:rsidR="00F154A8" w:rsidRPr="0003060E">
        <w:rPr>
          <w:rFonts w:asciiTheme="minorHAnsi" w:hAnsiTheme="minorHAnsi" w:cstheme="minorHAnsi"/>
          <w:color w:val="000000"/>
        </w:rPr>
        <w:t>help</w:t>
      </w:r>
      <w:r w:rsidRPr="0003060E">
        <w:rPr>
          <w:rFonts w:asciiTheme="minorHAnsi" w:hAnsiTheme="minorHAnsi" w:cstheme="minorHAnsi"/>
          <w:color w:val="000000"/>
        </w:rPr>
        <w:t xml:space="preserve"> explain why there have been so few ratifications of the 2019 Singapore Mediation Convention. There is less pressing need if a state’s companies are comparatively less likely to incorporate med-arb clauses.</w:t>
      </w:r>
      <w:r w:rsidR="00707DB5" w:rsidRPr="0003060E">
        <w:rPr>
          <w:rStyle w:val="FootnoteReference"/>
          <w:rFonts w:asciiTheme="minorHAnsi" w:hAnsiTheme="minorHAnsi" w:cstheme="minorHAnsi"/>
          <w:color w:val="000000"/>
        </w:rPr>
        <w:footnoteReference w:id="117"/>
      </w:r>
      <w:r w:rsidRPr="0003060E">
        <w:rPr>
          <w:rFonts w:asciiTheme="minorHAnsi" w:hAnsiTheme="minorHAnsi" w:cstheme="minorHAnsi"/>
          <w:color w:val="000000"/>
        </w:rPr>
        <w:t xml:space="preserve"> In turn, this may underpin the paucity of med-arb clauses in investment treaties, along with the greater value,</w:t>
      </w:r>
      <w:r w:rsidR="00266334" w:rsidRPr="0003060E">
        <w:rPr>
          <w:rFonts w:asciiTheme="minorHAnsi" w:hAnsiTheme="minorHAnsi" w:cstheme="minorHAnsi"/>
          <w:color w:val="000000"/>
        </w:rPr>
        <w:t xml:space="preserve"> complexities and/or political ramifications of associated ISDS claims compared to commercial disputes ending up in ICA. However, another reason could be that investment treaties were signed mostly decades ago, long before </w:t>
      </w:r>
      <w:proofErr w:type="gramStart"/>
      <w:r w:rsidR="00266334" w:rsidRPr="0003060E">
        <w:rPr>
          <w:rFonts w:asciiTheme="minorHAnsi" w:hAnsiTheme="minorHAnsi" w:cstheme="minorHAnsi"/>
          <w:color w:val="000000"/>
        </w:rPr>
        <w:t>commercially-supplied</w:t>
      </w:r>
      <w:proofErr w:type="gramEnd"/>
      <w:r w:rsidR="00266334" w:rsidRPr="0003060E">
        <w:rPr>
          <w:rFonts w:asciiTheme="minorHAnsi" w:hAnsiTheme="minorHAnsi" w:cstheme="minorHAnsi"/>
          <w:color w:val="000000"/>
        </w:rPr>
        <w:t xml:space="preserve"> mediation services became prevalent in domestic dispute resolution in many countries due mainly to escalating costs and delays in civil litigation. As concerns about over-formalisation of ISA are becoming even more acute, and new treaties are being negotiated or renegotiated, states may </w:t>
      </w:r>
      <w:r w:rsidR="00F154A8" w:rsidRPr="0003060E">
        <w:rPr>
          <w:rFonts w:asciiTheme="minorHAnsi" w:hAnsiTheme="minorHAnsi" w:cstheme="minorHAnsi"/>
          <w:color w:val="000000"/>
        </w:rPr>
        <w:t>therefore start to incorporate more provisions requiring mediation before arbitration of investment claims. Already, international bodies like UNCTAD, UNCITRAL and ICSID are starting to promote mediation of investment claims.</w:t>
      </w:r>
      <w:r w:rsidR="00F154A8" w:rsidRPr="0003060E">
        <w:rPr>
          <w:rStyle w:val="FootnoteReference"/>
          <w:rFonts w:asciiTheme="minorHAnsi" w:hAnsiTheme="minorHAnsi" w:cstheme="minorHAnsi"/>
          <w:color w:val="000000"/>
        </w:rPr>
        <w:footnoteReference w:id="118"/>
      </w:r>
      <w:r w:rsidR="00F154A8" w:rsidRPr="0003060E">
        <w:rPr>
          <w:rFonts w:asciiTheme="minorHAnsi" w:hAnsiTheme="minorHAnsi" w:cstheme="minorHAnsi"/>
          <w:color w:val="000000"/>
        </w:rPr>
        <w:t xml:space="preserve"> In 2019, compulsory med-arb provisions were included in investment treaties </w:t>
      </w:r>
      <w:r w:rsidR="00F154A8" w:rsidRPr="0003060E">
        <w:rPr>
          <w:rFonts w:asciiTheme="minorHAnsi" w:hAnsiTheme="minorHAnsi" w:cstheme="minorHAnsi"/>
          <w:color w:val="000000"/>
        </w:rPr>
        <w:lastRenderedPageBreak/>
        <w:t>signed between Australia and Indonesia,</w:t>
      </w:r>
      <w:r w:rsidR="00F154A8" w:rsidRPr="0003060E">
        <w:rPr>
          <w:rStyle w:val="FootnoteReference"/>
          <w:rFonts w:asciiTheme="minorHAnsi" w:hAnsiTheme="minorHAnsi" w:cstheme="minorHAnsi"/>
          <w:color w:val="000000"/>
        </w:rPr>
        <w:footnoteReference w:id="119"/>
      </w:r>
      <w:r w:rsidR="00F154A8" w:rsidRPr="0003060E">
        <w:rPr>
          <w:rFonts w:asciiTheme="minorHAnsi" w:hAnsiTheme="minorHAnsi" w:cstheme="minorHAnsi"/>
          <w:color w:val="000000"/>
        </w:rPr>
        <w:t xml:space="preserve"> as well as Hong Kong and the United Arab Emirates.</w:t>
      </w:r>
      <w:r w:rsidR="00F154A8" w:rsidRPr="0003060E">
        <w:rPr>
          <w:rStyle w:val="FootnoteReference"/>
          <w:rFonts w:asciiTheme="minorHAnsi" w:hAnsiTheme="minorHAnsi" w:cstheme="minorHAnsi"/>
          <w:color w:val="000000"/>
        </w:rPr>
        <w:footnoteReference w:id="120"/>
      </w:r>
    </w:p>
    <w:p w14:paraId="3F3E9AE6" w14:textId="4680385B" w:rsidR="00E61C8E" w:rsidRPr="0003060E" w:rsidRDefault="00F154A8" w:rsidP="00E76D41">
      <w:pPr>
        <w:pStyle w:val="NormalWeb"/>
        <w:spacing w:before="120" w:beforeAutospacing="0"/>
        <w:jc w:val="both"/>
        <w:rPr>
          <w:rFonts w:asciiTheme="minorHAnsi" w:hAnsiTheme="minorHAnsi" w:cstheme="minorHAnsi"/>
          <w:sz w:val="22"/>
          <w:szCs w:val="22"/>
        </w:rPr>
      </w:pPr>
      <w:r w:rsidRPr="0003060E">
        <w:rPr>
          <w:rFonts w:asciiTheme="minorHAnsi" w:hAnsiTheme="minorHAnsi" w:cstheme="minorHAnsi"/>
          <w:color w:val="000000"/>
          <w:sz w:val="22"/>
          <w:szCs w:val="22"/>
        </w:rPr>
        <w:t xml:space="preserve">The </w:t>
      </w:r>
      <w:r w:rsidR="00C306AF" w:rsidRPr="0003060E">
        <w:rPr>
          <w:rFonts w:asciiTheme="minorHAnsi" w:hAnsiTheme="minorHAnsi" w:cstheme="minorHAnsi"/>
          <w:color w:val="000000"/>
          <w:sz w:val="22"/>
          <w:szCs w:val="22"/>
        </w:rPr>
        <w:t xml:space="preserve">tendency to incorporate </w:t>
      </w:r>
      <w:r w:rsidRPr="0003060E">
        <w:rPr>
          <w:rFonts w:asciiTheme="minorHAnsi" w:hAnsiTheme="minorHAnsi" w:cstheme="minorHAnsi"/>
          <w:color w:val="000000"/>
          <w:sz w:val="22"/>
          <w:szCs w:val="22"/>
        </w:rPr>
        <w:t xml:space="preserve">med-arb </w:t>
      </w:r>
      <w:r w:rsidR="00C306AF" w:rsidRPr="0003060E">
        <w:rPr>
          <w:rFonts w:asciiTheme="minorHAnsi" w:hAnsiTheme="minorHAnsi" w:cstheme="minorHAnsi"/>
          <w:color w:val="000000"/>
          <w:sz w:val="22"/>
          <w:szCs w:val="22"/>
        </w:rPr>
        <w:t xml:space="preserve">and other multi-tiered dispute resolution clauses in cross-border contracts </w:t>
      </w:r>
      <w:r w:rsidR="00092705" w:rsidRPr="0003060E">
        <w:rPr>
          <w:rFonts w:asciiTheme="minorHAnsi" w:hAnsiTheme="minorHAnsi" w:cstheme="minorHAnsi"/>
          <w:color w:val="000000"/>
          <w:sz w:val="22"/>
          <w:szCs w:val="22"/>
        </w:rPr>
        <w:t>nonetheless</w:t>
      </w:r>
      <w:r w:rsidR="00C306AF" w:rsidRPr="0003060E">
        <w:rPr>
          <w:rFonts w:asciiTheme="minorHAnsi" w:hAnsiTheme="minorHAnsi" w:cstheme="minorHAnsi"/>
          <w:color w:val="000000"/>
          <w:sz w:val="22"/>
          <w:szCs w:val="22"/>
        </w:rPr>
        <w:t xml:space="preserve"> been growing overall</w:t>
      </w:r>
      <w:r w:rsidR="00092705" w:rsidRPr="0003060E">
        <w:rPr>
          <w:rFonts w:asciiTheme="minorHAnsi" w:hAnsiTheme="minorHAnsi" w:cstheme="minorHAnsi"/>
          <w:color w:val="000000"/>
          <w:sz w:val="22"/>
          <w:szCs w:val="22"/>
        </w:rPr>
        <w:t xml:space="preserve">. Yet </w:t>
      </w:r>
      <w:r w:rsidR="00C306AF" w:rsidRPr="0003060E">
        <w:rPr>
          <w:rFonts w:asciiTheme="minorHAnsi" w:hAnsiTheme="minorHAnsi" w:cstheme="minorHAnsi"/>
          <w:color w:val="000000"/>
          <w:sz w:val="22"/>
          <w:szCs w:val="22"/>
        </w:rPr>
        <w:t xml:space="preserve">this has not yet carried over much into </w:t>
      </w:r>
      <w:r w:rsidRPr="0003060E">
        <w:rPr>
          <w:rFonts w:asciiTheme="minorHAnsi" w:hAnsiTheme="minorHAnsi" w:cstheme="minorHAnsi"/>
          <w:color w:val="000000"/>
          <w:sz w:val="22"/>
          <w:szCs w:val="22"/>
        </w:rPr>
        <w:t>investment treaty (re)drafting</w:t>
      </w:r>
      <w:r w:rsidR="00092705" w:rsidRPr="0003060E">
        <w:rPr>
          <w:rFonts w:asciiTheme="minorHAnsi" w:hAnsiTheme="minorHAnsi" w:cstheme="minorHAnsi"/>
          <w:color w:val="000000"/>
          <w:sz w:val="22"/>
          <w:szCs w:val="22"/>
        </w:rPr>
        <w:t>,</w:t>
      </w:r>
      <w:r w:rsidRPr="0003060E">
        <w:rPr>
          <w:rFonts w:asciiTheme="minorHAnsi" w:hAnsiTheme="minorHAnsi" w:cstheme="minorHAnsi"/>
          <w:color w:val="000000"/>
          <w:sz w:val="22"/>
          <w:szCs w:val="22"/>
        </w:rPr>
        <w:t xml:space="preserve"> </w:t>
      </w:r>
      <w:r w:rsidR="00C306AF" w:rsidRPr="0003060E">
        <w:rPr>
          <w:rFonts w:asciiTheme="minorHAnsi" w:hAnsiTheme="minorHAnsi" w:cstheme="minorHAnsi"/>
          <w:color w:val="000000"/>
          <w:sz w:val="22"/>
          <w:szCs w:val="22"/>
        </w:rPr>
        <w:t xml:space="preserve">and therefore ISDS practice. By contrast, there has been an interesting cross-fertilisation </w:t>
      </w:r>
      <w:r w:rsidR="005A19DB" w:rsidRPr="0003060E">
        <w:rPr>
          <w:rFonts w:asciiTheme="minorHAnsi" w:hAnsiTheme="minorHAnsi" w:cstheme="minorHAnsi"/>
          <w:color w:val="000000"/>
          <w:sz w:val="22"/>
          <w:szCs w:val="22"/>
        </w:rPr>
        <w:t xml:space="preserve">partly </w:t>
      </w:r>
      <w:r w:rsidR="00C306AF" w:rsidRPr="0003060E">
        <w:rPr>
          <w:rFonts w:asciiTheme="minorHAnsi" w:hAnsiTheme="minorHAnsi" w:cstheme="minorHAnsi"/>
          <w:color w:val="000000"/>
          <w:sz w:val="22"/>
          <w:szCs w:val="22"/>
        </w:rPr>
        <w:t>from ISA into the sphere of ICA recently. Until a decade or so ago, a major concern of courts faced with negotiation-arbitration or med-arb clauses</w:t>
      </w:r>
      <w:r w:rsidR="00AB3629" w:rsidRPr="0003060E">
        <w:rPr>
          <w:rFonts w:asciiTheme="minorHAnsi" w:hAnsiTheme="minorHAnsi" w:cstheme="minorHAnsi"/>
          <w:color w:val="000000"/>
          <w:sz w:val="22"/>
          <w:szCs w:val="22"/>
        </w:rPr>
        <w:t xml:space="preserve"> in commercial contracts</w:t>
      </w:r>
      <w:r w:rsidR="00C306AF" w:rsidRPr="0003060E">
        <w:rPr>
          <w:rFonts w:asciiTheme="minorHAnsi" w:hAnsiTheme="minorHAnsi" w:cstheme="minorHAnsi"/>
          <w:color w:val="000000"/>
          <w:sz w:val="22"/>
          <w:szCs w:val="22"/>
        </w:rPr>
        <w:t>, especially in common law jurisdictions, was whether the negotiation or mediation obligations were sufficiently certain to create contractual obligations.</w:t>
      </w:r>
      <w:r w:rsidR="005A19DB" w:rsidRPr="0003060E">
        <w:rPr>
          <w:rStyle w:val="FootnoteReference"/>
          <w:rFonts w:asciiTheme="minorHAnsi" w:hAnsiTheme="minorHAnsi" w:cstheme="minorHAnsi"/>
          <w:color w:val="000000"/>
          <w:sz w:val="22"/>
          <w:szCs w:val="22"/>
        </w:rPr>
        <w:footnoteReference w:id="121"/>
      </w:r>
      <w:r w:rsidR="00C306AF" w:rsidRPr="0003060E">
        <w:rPr>
          <w:rFonts w:asciiTheme="minorHAnsi" w:hAnsiTheme="minorHAnsi" w:cstheme="minorHAnsi"/>
          <w:color w:val="000000"/>
          <w:sz w:val="22"/>
          <w:szCs w:val="22"/>
        </w:rPr>
        <w:t xml:space="preserve"> </w:t>
      </w:r>
      <w:r w:rsidR="00E61C8E" w:rsidRPr="0003060E">
        <w:rPr>
          <w:rFonts w:asciiTheme="minorHAnsi" w:hAnsiTheme="minorHAnsi" w:cstheme="minorHAnsi"/>
          <w:color w:val="000000"/>
          <w:sz w:val="22"/>
          <w:szCs w:val="22"/>
        </w:rPr>
        <w:t xml:space="preserve">A </w:t>
      </w:r>
      <w:r w:rsidR="00C306AF" w:rsidRPr="0003060E">
        <w:rPr>
          <w:rFonts w:asciiTheme="minorHAnsi" w:hAnsiTheme="minorHAnsi" w:cstheme="minorHAnsi"/>
          <w:color w:val="000000"/>
          <w:sz w:val="22"/>
          <w:szCs w:val="22"/>
        </w:rPr>
        <w:t xml:space="preserve">Singaporean judgment </w:t>
      </w:r>
      <w:r w:rsidR="00E61C8E" w:rsidRPr="0003060E">
        <w:rPr>
          <w:rFonts w:asciiTheme="minorHAnsi" w:hAnsiTheme="minorHAnsi" w:cstheme="minorHAnsi"/>
          <w:color w:val="000000"/>
          <w:sz w:val="22"/>
          <w:szCs w:val="22"/>
        </w:rPr>
        <w:t xml:space="preserve">decided </w:t>
      </w:r>
      <w:r w:rsidR="00C306AF" w:rsidRPr="0003060E">
        <w:rPr>
          <w:rFonts w:asciiTheme="minorHAnsi" w:hAnsiTheme="minorHAnsi" w:cstheme="minorHAnsi"/>
          <w:color w:val="000000"/>
          <w:sz w:val="22"/>
          <w:szCs w:val="22"/>
        </w:rPr>
        <w:t xml:space="preserve">a decade ago, involving a negotiation-mediation-arbitration clause, gave an affirmative answer and </w:t>
      </w:r>
      <w:r w:rsidR="00A923D6" w:rsidRPr="0003060E">
        <w:rPr>
          <w:rFonts w:asciiTheme="minorHAnsi" w:hAnsiTheme="minorHAnsi" w:cstheme="minorHAnsi"/>
          <w:color w:val="000000"/>
          <w:sz w:val="22"/>
          <w:szCs w:val="22"/>
        </w:rPr>
        <w:t>further</w:t>
      </w:r>
      <w:r w:rsidR="00C306AF" w:rsidRPr="0003060E">
        <w:rPr>
          <w:rFonts w:asciiTheme="minorHAnsi" w:hAnsiTheme="minorHAnsi" w:cstheme="minorHAnsi"/>
          <w:color w:val="000000"/>
          <w:sz w:val="22"/>
          <w:szCs w:val="22"/>
        </w:rPr>
        <w:t xml:space="preserve"> held that completion of each pre-arbitration step was a precondition to a valid arbitration process.</w:t>
      </w:r>
      <w:r w:rsidR="00C306AF" w:rsidRPr="0003060E">
        <w:rPr>
          <w:rStyle w:val="FootnoteReference"/>
          <w:rFonts w:asciiTheme="minorHAnsi" w:hAnsiTheme="minorHAnsi" w:cstheme="minorHAnsi"/>
          <w:color w:val="000000"/>
          <w:sz w:val="22"/>
          <w:szCs w:val="22"/>
        </w:rPr>
        <w:footnoteReference w:id="122"/>
      </w:r>
      <w:r w:rsidR="00E61C8E" w:rsidRPr="0003060E">
        <w:rPr>
          <w:rFonts w:asciiTheme="minorHAnsi" w:hAnsiTheme="minorHAnsi" w:cstheme="minorHAnsi"/>
          <w:color w:val="000000"/>
          <w:sz w:val="22"/>
          <w:szCs w:val="22"/>
        </w:rPr>
        <w:t xml:space="preserve"> The Singaporean High Court </w:t>
      </w:r>
      <w:r w:rsidR="00E61C8E" w:rsidRPr="0003060E">
        <w:rPr>
          <w:rFonts w:asciiTheme="minorHAnsi" w:hAnsiTheme="minorHAnsi" w:cstheme="minorHAnsi"/>
          <w:sz w:val="22"/>
          <w:szCs w:val="22"/>
        </w:rPr>
        <w:t>cited a Court of Appeal decision also from 2012 that had held enforceable the contractual provisions mandating good faith negotiations between the parties, noting moreover that:</w:t>
      </w:r>
      <w:r w:rsidR="00E61C8E" w:rsidRPr="0003060E">
        <w:rPr>
          <w:rStyle w:val="FootnoteReference"/>
          <w:rFonts w:asciiTheme="minorHAnsi" w:hAnsiTheme="minorHAnsi" w:cstheme="minorHAnsi"/>
          <w:sz w:val="22"/>
          <w:szCs w:val="22"/>
        </w:rPr>
        <w:footnoteReference w:id="123"/>
      </w:r>
      <w:r w:rsidR="00E61C8E" w:rsidRPr="0003060E">
        <w:rPr>
          <w:rFonts w:asciiTheme="minorHAnsi" w:hAnsiTheme="minorHAnsi" w:cstheme="minorHAnsi"/>
          <w:sz w:val="22"/>
          <w:szCs w:val="22"/>
        </w:rPr>
        <w:t xml:space="preserve"> </w:t>
      </w:r>
    </w:p>
    <w:p w14:paraId="02ED6F24" w14:textId="3985C4F6" w:rsidR="00E61C8E" w:rsidRPr="0003060E" w:rsidRDefault="00E61C8E" w:rsidP="00E76D41">
      <w:pPr>
        <w:pStyle w:val="NormalWeb"/>
        <w:spacing w:before="120" w:beforeAutospacing="0"/>
        <w:ind w:left="720"/>
        <w:jc w:val="both"/>
        <w:rPr>
          <w:rFonts w:asciiTheme="minorHAnsi" w:hAnsiTheme="minorHAnsi" w:cstheme="minorHAnsi"/>
          <w:sz w:val="22"/>
          <w:szCs w:val="22"/>
        </w:rPr>
      </w:pPr>
      <w:r w:rsidRPr="0003060E">
        <w:rPr>
          <w:rFonts w:asciiTheme="minorHAnsi" w:hAnsiTheme="minorHAnsi" w:cstheme="minorHAnsi"/>
          <w:sz w:val="22"/>
          <w:szCs w:val="22"/>
        </w:rPr>
        <w:t>“the “friendly negotiations” and “confer in good faith” clauses … are consistent with our cultural value of promoting consensus whenever possible. Clearly, it is in the wider public interest in Singapore as well to promote such an approach towards resolving differences.”</w:t>
      </w:r>
    </w:p>
    <w:p w14:paraId="5BE1E2BD" w14:textId="5B0DA853" w:rsidR="00E61C8E" w:rsidRPr="0003060E" w:rsidRDefault="00E61C8E" w:rsidP="00E76D41">
      <w:pPr>
        <w:pStyle w:val="NormalWeb"/>
        <w:spacing w:before="120" w:beforeAutospacing="0"/>
        <w:jc w:val="both"/>
        <w:rPr>
          <w:rFonts w:asciiTheme="minorHAnsi" w:hAnsiTheme="minorHAnsi" w:cstheme="minorHAnsi"/>
          <w:sz w:val="22"/>
          <w:szCs w:val="22"/>
        </w:rPr>
      </w:pPr>
      <w:r w:rsidRPr="0003060E">
        <w:rPr>
          <w:rFonts w:asciiTheme="minorHAnsi" w:hAnsiTheme="minorHAnsi" w:cstheme="minorHAnsi"/>
          <w:sz w:val="22"/>
          <w:szCs w:val="22"/>
        </w:rPr>
        <w:t>A contemporaneous commentator contrasted a judgment of the English High Court that year.</w:t>
      </w:r>
      <w:r w:rsidRPr="0003060E">
        <w:rPr>
          <w:rStyle w:val="FootnoteReference"/>
          <w:rFonts w:asciiTheme="minorHAnsi" w:hAnsiTheme="minorHAnsi" w:cstheme="minorHAnsi"/>
          <w:sz w:val="22"/>
          <w:szCs w:val="22"/>
        </w:rPr>
        <w:footnoteReference w:id="124"/>
      </w:r>
      <w:r w:rsidRPr="0003060E">
        <w:rPr>
          <w:rFonts w:asciiTheme="minorHAnsi" w:hAnsiTheme="minorHAnsi" w:cstheme="minorHAnsi"/>
          <w:sz w:val="22"/>
          <w:szCs w:val="22"/>
        </w:rPr>
        <w:t xml:space="preserve"> </w:t>
      </w:r>
      <w:r w:rsidR="00AB3629" w:rsidRPr="0003060E">
        <w:rPr>
          <w:rFonts w:asciiTheme="minorHAnsi" w:hAnsiTheme="minorHAnsi" w:cstheme="minorHAnsi"/>
          <w:sz w:val="22"/>
          <w:szCs w:val="22"/>
        </w:rPr>
        <w:t xml:space="preserve"> </w:t>
      </w:r>
      <w:r w:rsidRPr="0003060E">
        <w:rPr>
          <w:rFonts w:asciiTheme="minorHAnsi" w:hAnsiTheme="minorHAnsi" w:cstheme="minorHAnsi"/>
          <w:sz w:val="22"/>
          <w:szCs w:val="22"/>
        </w:rPr>
        <w:t>Darius Chan noted that Hilyard J held that a rather similar multi-tiered dispute resolution clause was too equivocal in terms of the process required and too nebulous in terms of the content of the parties’ respective obligations to be given legal effect as an enforceable condition precedent to arbitration.</w:t>
      </w:r>
      <w:r w:rsidRPr="0003060E">
        <w:rPr>
          <w:rStyle w:val="FootnoteReference"/>
          <w:rFonts w:asciiTheme="minorHAnsi" w:hAnsiTheme="minorHAnsi" w:cstheme="minorHAnsi"/>
          <w:sz w:val="22"/>
          <w:szCs w:val="22"/>
        </w:rPr>
        <w:footnoteReference w:id="125"/>
      </w:r>
    </w:p>
    <w:p w14:paraId="6FB4A9C0" w14:textId="375403D6" w:rsidR="0018571E" w:rsidRPr="0003060E" w:rsidRDefault="00E61C8E" w:rsidP="00E76D41">
      <w:pPr>
        <w:pStyle w:val="NormalWeb"/>
        <w:spacing w:before="120" w:beforeAutospacing="0"/>
        <w:jc w:val="both"/>
        <w:rPr>
          <w:rFonts w:asciiTheme="minorHAnsi" w:hAnsiTheme="minorHAnsi" w:cstheme="minorHAnsi"/>
          <w:sz w:val="22"/>
          <w:szCs w:val="22"/>
        </w:rPr>
      </w:pPr>
      <w:r w:rsidRPr="0003060E">
        <w:rPr>
          <w:rFonts w:asciiTheme="minorHAnsi" w:hAnsiTheme="minorHAnsi" w:cstheme="minorHAnsi"/>
          <w:color w:val="000000"/>
          <w:sz w:val="22"/>
          <w:szCs w:val="22"/>
        </w:rPr>
        <w:t xml:space="preserve">However, </w:t>
      </w:r>
      <w:r w:rsidRPr="0003060E">
        <w:rPr>
          <w:rFonts w:asciiTheme="minorHAnsi" w:hAnsiTheme="minorHAnsi" w:cstheme="minorHAnsi"/>
          <w:sz w:val="22"/>
          <w:szCs w:val="22"/>
        </w:rPr>
        <w:t>in</w:t>
      </w:r>
      <w:r w:rsidR="00A923D6" w:rsidRPr="0003060E">
        <w:rPr>
          <w:rFonts w:asciiTheme="minorHAnsi" w:eastAsia="MS PGothic" w:hAnsiTheme="minorHAnsi" w:cstheme="minorHAnsi"/>
          <w:sz w:val="22"/>
          <w:szCs w:val="22"/>
          <w:lang w:val="en-US"/>
        </w:rPr>
        <w:t xml:space="preserve"> </w:t>
      </w:r>
      <w:hyperlink r:id="rId11" w:history="1">
        <w:r w:rsidR="00A923D6" w:rsidRPr="0003060E">
          <w:rPr>
            <w:rStyle w:val="Hyperlink"/>
            <w:rFonts w:asciiTheme="minorHAnsi" w:eastAsia="MS PGothic" w:hAnsiTheme="minorHAnsi" w:cstheme="minorHAnsi"/>
            <w:i/>
            <w:iCs/>
            <w:color w:val="auto"/>
            <w:sz w:val="22"/>
            <w:szCs w:val="22"/>
            <w:u w:val="none"/>
            <w:lang w:val="en-US"/>
          </w:rPr>
          <w:t>BBA and others v BAZ and another appeal</w:t>
        </w:r>
      </w:hyperlink>
      <w:r w:rsidR="00A923D6" w:rsidRPr="0003060E">
        <w:rPr>
          <w:rFonts w:asciiTheme="minorHAnsi" w:eastAsia="MS PGothic" w:hAnsiTheme="minorHAnsi" w:cstheme="minorHAnsi"/>
          <w:sz w:val="22"/>
          <w:szCs w:val="22"/>
          <w:lang w:val="en-US"/>
        </w:rPr>
        <w:t>,</w:t>
      </w:r>
      <w:r w:rsidR="005755BD" w:rsidRPr="0003060E">
        <w:rPr>
          <w:rStyle w:val="FootnoteReference"/>
          <w:rFonts w:asciiTheme="minorHAnsi" w:eastAsia="MS PGothic" w:hAnsiTheme="minorHAnsi" w:cstheme="minorHAnsi"/>
          <w:sz w:val="22"/>
          <w:szCs w:val="22"/>
          <w:lang w:val="en-US"/>
        </w:rPr>
        <w:footnoteReference w:id="126"/>
      </w:r>
      <w:r w:rsidR="00A923D6" w:rsidRPr="0003060E">
        <w:rPr>
          <w:rFonts w:asciiTheme="minorHAnsi" w:eastAsia="MS PGothic" w:hAnsiTheme="minorHAnsi" w:cstheme="minorHAnsi"/>
          <w:sz w:val="22"/>
          <w:szCs w:val="22"/>
          <w:lang w:val="en-US"/>
        </w:rPr>
        <w:t xml:space="preserve"> </w:t>
      </w:r>
      <w:r w:rsidR="00A923D6" w:rsidRPr="0003060E">
        <w:rPr>
          <w:rFonts w:asciiTheme="minorHAnsi" w:eastAsia="MS PGothic" w:hAnsiTheme="minorHAnsi" w:cstheme="minorHAnsi"/>
          <w:color w:val="000000"/>
          <w:sz w:val="22"/>
          <w:szCs w:val="22"/>
          <w:lang w:val="en-US"/>
        </w:rPr>
        <w:t>the</w:t>
      </w:r>
      <w:r w:rsidR="005755BD" w:rsidRPr="0003060E">
        <w:rPr>
          <w:rFonts w:asciiTheme="minorHAnsi" w:eastAsia="MS PGothic" w:hAnsiTheme="minorHAnsi" w:cstheme="minorHAnsi"/>
          <w:color w:val="000000"/>
          <w:sz w:val="22"/>
          <w:szCs w:val="22"/>
          <w:lang w:val="en-US"/>
        </w:rPr>
        <w:t xml:space="preserve"> Singapore </w:t>
      </w:r>
      <w:r w:rsidR="00A923D6" w:rsidRPr="0003060E">
        <w:rPr>
          <w:rFonts w:asciiTheme="minorHAnsi" w:eastAsia="MS PGothic" w:hAnsiTheme="minorHAnsi" w:cstheme="minorHAnsi"/>
          <w:color w:val="000000"/>
          <w:sz w:val="22"/>
          <w:szCs w:val="22"/>
          <w:lang w:val="en-US"/>
        </w:rPr>
        <w:t xml:space="preserve">Court of Appeal, in refusing to set aside an arbitral award, held that issues of time bar </w:t>
      </w:r>
      <w:r w:rsidR="00A923D6" w:rsidRPr="0003060E">
        <w:rPr>
          <w:rFonts w:asciiTheme="minorHAnsi" w:hAnsiTheme="minorHAnsi" w:cstheme="minorHAnsi"/>
          <w:color w:val="000000"/>
          <w:sz w:val="22"/>
          <w:szCs w:val="22"/>
          <w:lang w:val="en-US"/>
        </w:rPr>
        <w:t>due to</w:t>
      </w:r>
      <w:r w:rsidR="00A923D6" w:rsidRPr="0003060E">
        <w:rPr>
          <w:rFonts w:asciiTheme="minorHAnsi" w:eastAsia="MS PGothic" w:hAnsiTheme="minorHAnsi" w:cstheme="minorHAnsi"/>
          <w:color w:val="000000"/>
          <w:sz w:val="22"/>
          <w:szCs w:val="22"/>
          <w:lang w:val="en-US"/>
        </w:rPr>
        <w:t xml:space="preserve"> statutory limitation periods go </w:t>
      </w:r>
      <w:r w:rsidR="00A923D6" w:rsidRPr="0003060E">
        <w:rPr>
          <w:rFonts w:asciiTheme="minorHAnsi" w:hAnsiTheme="minorHAnsi" w:cstheme="minorHAnsi"/>
          <w:color w:val="000000"/>
          <w:sz w:val="22"/>
          <w:szCs w:val="22"/>
          <w:lang w:val="en-US"/>
        </w:rPr>
        <w:t xml:space="preserve">instead </w:t>
      </w:r>
      <w:r w:rsidR="00A923D6" w:rsidRPr="0003060E">
        <w:rPr>
          <w:rFonts w:asciiTheme="minorHAnsi" w:eastAsia="MS PGothic" w:hAnsiTheme="minorHAnsi" w:cstheme="minorHAnsi"/>
          <w:color w:val="000000"/>
          <w:sz w:val="22"/>
          <w:szCs w:val="22"/>
          <w:lang w:val="en-US"/>
        </w:rPr>
        <w:t>towards admissibility</w:t>
      </w:r>
      <w:r w:rsidR="00A923D6" w:rsidRPr="0003060E">
        <w:rPr>
          <w:rFonts w:asciiTheme="minorHAnsi" w:hAnsiTheme="minorHAnsi" w:cstheme="minorHAnsi"/>
          <w:color w:val="000000"/>
          <w:sz w:val="22"/>
          <w:szCs w:val="22"/>
          <w:lang w:val="en-US"/>
        </w:rPr>
        <w:t xml:space="preserve"> of the claims</w:t>
      </w:r>
      <w:r w:rsidR="00A923D6" w:rsidRPr="0003060E">
        <w:rPr>
          <w:rFonts w:asciiTheme="minorHAnsi" w:eastAsia="MS PGothic" w:hAnsiTheme="minorHAnsi" w:cstheme="minorHAnsi"/>
          <w:i/>
          <w:iCs/>
          <w:color w:val="000000"/>
          <w:sz w:val="22"/>
          <w:szCs w:val="22"/>
          <w:lang w:val="en-US"/>
        </w:rPr>
        <w:t xml:space="preserve"> </w:t>
      </w:r>
      <w:r w:rsidR="00A923D6" w:rsidRPr="0003060E">
        <w:rPr>
          <w:rFonts w:asciiTheme="minorHAnsi" w:eastAsia="MS PGothic" w:hAnsiTheme="minorHAnsi" w:cstheme="minorHAnsi"/>
          <w:color w:val="000000"/>
          <w:sz w:val="22"/>
          <w:szCs w:val="22"/>
          <w:lang w:val="en-US"/>
        </w:rPr>
        <w:t>and not jurisdiction</w:t>
      </w:r>
      <w:r w:rsidR="00A923D6" w:rsidRPr="0003060E">
        <w:rPr>
          <w:rFonts w:asciiTheme="minorHAnsi" w:hAnsiTheme="minorHAnsi" w:cstheme="minorHAnsi"/>
          <w:color w:val="000000"/>
          <w:sz w:val="22"/>
          <w:szCs w:val="22"/>
          <w:lang w:val="en-US"/>
        </w:rPr>
        <w:t xml:space="preserve"> of the arbitral tribunal</w:t>
      </w:r>
      <w:r w:rsidR="00A923D6" w:rsidRPr="0003060E">
        <w:rPr>
          <w:rFonts w:asciiTheme="minorHAnsi" w:eastAsia="MS PGothic" w:hAnsiTheme="minorHAnsi" w:cstheme="minorHAnsi"/>
          <w:color w:val="000000"/>
          <w:sz w:val="22"/>
          <w:szCs w:val="22"/>
          <w:lang w:val="en-US"/>
        </w:rPr>
        <w:t>.</w:t>
      </w:r>
      <w:r w:rsidR="00A923D6" w:rsidRPr="0003060E">
        <w:rPr>
          <w:rFonts w:asciiTheme="minorHAnsi" w:hAnsiTheme="minorHAnsi" w:cstheme="minorHAnsi"/>
          <w:color w:val="000000"/>
          <w:sz w:val="22"/>
          <w:szCs w:val="22"/>
          <w:lang w:val="en-US"/>
        </w:rPr>
        <w:t xml:space="preserve"> Iris Ng noted that</w:t>
      </w:r>
      <w:r w:rsidR="00A923D6" w:rsidRPr="0003060E">
        <w:rPr>
          <w:rFonts w:asciiTheme="minorHAnsi" w:eastAsia="MS PGothic" w:hAnsiTheme="minorHAnsi" w:cstheme="minorHAnsi"/>
          <w:color w:val="000000"/>
          <w:sz w:val="22"/>
          <w:szCs w:val="22"/>
          <w:lang w:val="en-US"/>
        </w:rPr>
        <w:t xml:space="preserve"> </w:t>
      </w:r>
      <w:r w:rsidR="00A923D6" w:rsidRPr="0003060E">
        <w:rPr>
          <w:rFonts w:asciiTheme="minorHAnsi" w:hAnsiTheme="minorHAnsi" w:cstheme="minorHAnsi"/>
          <w:color w:val="000000"/>
          <w:sz w:val="22"/>
          <w:szCs w:val="22"/>
          <w:lang w:val="en-US"/>
        </w:rPr>
        <w:t>s</w:t>
      </w:r>
      <w:r w:rsidR="00A923D6" w:rsidRPr="0003060E">
        <w:rPr>
          <w:rFonts w:asciiTheme="minorHAnsi" w:eastAsia="MS PGothic" w:hAnsiTheme="minorHAnsi" w:cstheme="minorHAnsi"/>
          <w:color w:val="000000"/>
          <w:sz w:val="22"/>
          <w:szCs w:val="22"/>
          <w:lang w:val="en-US"/>
        </w:rPr>
        <w:t xml:space="preserve">uch issues </w:t>
      </w:r>
      <w:r w:rsidR="00A923D6" w:rsidRPr="0003060E">
        <w:rPr>
          <w:rFonts w:asciiTheme="minorHAnsi" w:hAnsiTheme="minorHAnsi" w:cstheme="minorHAnsi"/>
          <w:color w:val="000000"/>
          <w:sz w:val="22"/>
          <w:szCs w:val="22"/>
          <w:lang w:val="en-US"/>
        </w:rPr>
        <w:t xml:space="preserve">accordingly </w:t>
      </w:r>
      <w:r w:rsidR="00A923D6" w:rsidRPr="0003060E">
        <w:rPr>
          <w:rFonts w:asciiTheme="minorHAnsi" w:eastAsia="MS PGothic" w:hAnsiTheme="minorHAnsi" w:cstheme="minorHAnsi"/>
          <w:color w:val="000000"/>
          <w:sz w:val="22"/>
          <w:szCs w:val="22"/>
          <w:lang w:val="en-US"/>
        </w:rPr>
        <w:t>cannot be reviewed</w:t>
      </w:r>
      <w:r w:rsidR="00A923D6" w:rsidRPr="0003060E">
        <w:rPr>
          <w:rFonts w:asciiTheme="minorHAnsi" w:eastAsia="MS PGothic" w:hAnsiTheme="minorHAnsi" w:cstheme="minorHAnsi"/>
          <w:i/>
          <w:iCs/>
          <w:color w:val="000000"/>
          <w:sz w:val="22"/>
          <w:szCs w:val="22"/>
          <w:lang w:val="en-US"/>
        </w:rPr>
        <w:t xml:space="preserve"> </w:t>
      </w:r>
      <w:r w:rsidR="00A923D6" w:rsidRPr="0003060E">
        <w:rPr>
          <w:rFonts w:asciiTheme="minorHAnsi" w:eastAsia="MS PGothic" w:hAnsiTheme="minorHAnsi" w:cstheme="minorHAnsi"/>
          <w:color w:val="000000"/>
          <w:sz w:val="22"/>
          <w:szCs w:val="22"/>
          <w:lang w:val="en-US"/>
        </w:rPr>
        <w:t xml:space="preserve">by the seat court under Singapore law </w:t>
      </w:r>
      <w:r w:rsidR="00A923D6" w:rsidRPr="0003060E">
        <w:rPr>
          <w:rFonts w:asciiTheme="minorHAnsi" w:hAnsiTheme="minorHAnsi" w:cstheme="minorHAnsi"/>
          <w:color w:val="000000"/>
          <w:sz w:val="22"/>
          <w:szCs w:val="22"/>
          <w:lang w:val="en-US"/>
        </w:rPr>
        <w:t>(</w:t>
      </w:r>
      <w:r w:rsidR="00A923D6" w:rsidRPr="0003060E">
        <w:rPr>
          <w:rFonts w:asciiTheme="minorHAnsi" w:eastAsia="MS PGothic" w:hAnsiTheme="minorHAnsi" w:cstheme="minorHAnsi"/>
          <w:color w:val="000000"/>
          <w:sz w:val="22"/>
          <w:szCs w:val="22"/>
          <w:lang w:val="en-US"/>
        </w:rPr>
        <w:t xml:space="preserve">challenging </w:t>
      </w:r>
      <w:r w:rsidR="00A923D6" w:rsidRPr="0003060E">
        <w:rPr>
          <w:rFonts w:asciiTheme="minorHAnsi" w:eastAsia="MS PGothic" w:hAnsiTheme="minorHAnsi" w:cstheme="minorHAnsi"/>
          <w:color w:val="000000"/>
          <w:sz w:val="22"/>
          <w:szCs w:val="22"/>
          <w:lang w:val="en-US"/>
        </w:rPr>
        <w:lastRenderedPageBreak/>
        <w:t>the award</w:t>
      </w:r>
      <w:r w:rsidR="00A923D6" w:rsidRPr="0003060E">
        <w:rPr>
          <w:rFonts w:asciiTheme="minorHAnsi" w:hAnsiTheme="minorHAnsi" w:cstheme="minorHAnsi"/>
          <w:color w:val="000000"/>
          <w:sz w:val="22"/>
          <w:szCs w:val="22"/>
          <w:lang w:val="en-US"/>
        </w:rPr>
        <w:t xml:space="preserve">), as its ML regime for IA precludes challenges based on merits review, and </w:t>
      </w:r>
      <w:r w:rsidR="0018571E" w:rsidRPr="0003060E">
        <w:rPr>
          <w:rFonts w:asciiTheme="minorHAnsi" w:hAnsiTheme="minorHAnsi" w:cstheme="minorHAnsi"/>
          <w:color w:val="000000"/>
          <w:sz w:val="22"/>
          <w:szCs w:val="22"/>
          <w:lang w:val="en-US"/>
        </w:rPr>
        <w:t xml:space="preserve">that the Court adopted the </w:t>
      </w:r>
      <w:r w:rsidR="0018571E" w:rsidRPr="0003060E">
        <w:rPr>
          <w:rFonts w:asciiTheme="minorHAnsi" w:hAnsiTheme="minorHAnsi" w:cstheme="minorHAnsi"/>
          <w:sz w:val="22"/>
          <w:szCs w:val="22"/>
        </w:rPr>
        <w:t>“tribunal versus claim” test that queries:</w:t>
      </w:r>
      <w:r w:rsidR="005755BD" w:rsidRPr="0003060E">
        <w:rPr>
          <w:rStyle w:val="FootnoteReference"/>
          <w:rFonts w:asciiTheme="minorHAnsi" w:hAnsiTheme="minorHAnsi" w:cstheme="minorHAnsi"/>
          <w:sz w:val="22"/>
          <w:szCs w:val="22"/>
        </w:rPr>
        <w:footnoteReference w:id="127"/>
      </w:r>
    </w:p>
    <w:p w14:paraId="29C37C01" w14:textId="430946DC" w:rsidR="0018571E" w:rsidRPr="0003060E" w:rsidRDefault="0018571E" w:rsidP="00E76D41">
      <w:pPr>
        <w:pStyle w:val="NormalWeb"/>
        <w:spacing w:before="120" w:beforeAutospacing="0"/>
        <w:ind w:left="720"/>
        <w:jc w:val="both"/>
        <w:rPr>
          <w:rFonts w:asciiTheme="minorHAnsi" w:hAnsiTheme="minorHAnsi" w:cstheme="minorHAnsi"/>
          <w:color w:val="000000"/>
          <w:sz w:val="22"/>
          <w:szCs w:val="22"/>
          <w:lang w:val="en-US"/>
        </w:rPr>
      </w:pPr>
      <w:r w:rsidRPr="0003060E">
        <w:rPr>
          <w:rFonts w:asciiTheme="minorHAnsi" w:hAnsiTheme="minorHAnsi" w:cstheme="minorHAnsi"/>
          <w:sz w:val="22"/>
          <w:szCs w:val="22"/>
        </w:rPr>
        <w:t>“</w:t>
      </w:r>
      <w:proofErr w:type="gramStart"/>
      <w:r w:rsidRPr="0003060E">
        <w:rPr>
          <w:rFonts w:asciiTheme="minorHAnsi" w:hAnsiTheme="minorHAnsi" w:cstheme="minorHAnsi"/>
          <w:sz w:val="22"/>
          <w:szCs w:val="22"/>
        </w:rPr>
        <w:t>whether</w:t>
      </w:r>
      <w:proofErr w:type="gramEnd"/>
      <w:r w:rsidRPr="0003060E">
        <w:rPr>
          <w:rFonts w:asciiTheme="minorHAnsi" w:hAnsiTheme="minorHAnsi" w:cstheme="minorHAnsi"/>
          <w:sz w:val="22"/>
          <w:szCs w:val="22"/>
        </w:rPr>
        <w:t xml:space="preserve"> the objection is targeted at the tribunal (in the sense that the claim </w:t>
      </w:r>
      <w:r w:rsidRPr="0003060E">
        <w:rPr>
          <w:rStyle w:val="Emphasis"/>
          <w:rFonts w:asciiTheme="minorHAnsi" w:hAnsiTheme="minorHAnsi" w:cstheme="minorHAnsi"/>
          <w:sz w:val="22"/>
          <w:szCs w:val="22"/>
        </w:rPr>
        <w:t>should not be arbitrated</w:t>
      </w:r>
      <w:r w:rsidRPr="0003060E">
        <w:rPr>
          <w:rFonts w:asciiTheme="minorHAnsi" w:hAnsiTheme="minorHAnsi" w:cstheme="minorHAnsi"/>
          <w:sz w:val="22"/>
          <w:szCs w:val="22"/>
        </w:rPr>
        <w:t xml:space="preserve"> due to a defect in or omission to consent to arbitration), or at the claim (in that the claim itself is defective and </w:t>
      </w:r>
      <w:r w:rsidRPr="0003060E">
        <w:rPr>
          <w:rStyle w:val="Emphasis"/>
          <w:rFonts w:asciiTheme="minorHAnsi" w:hAnsiTheme="minorHAnsi" w:cstheme="minorHAnsi"/>
          <w:sz w:val="22"/>
          <w:szCs w:val="22"/>
        </w:rPr>
        <w:t>should not be raised at all</w:t>
      </w:r>
      <w:r w:rsidRPr="0003060E">
        <w:rPr>
          <w:rFonts w:asciiTheme="minorHAnsi" w:hAnsiTheme="minorHAnsi" w:cstheme="minorHAnsi"/>
          <w:sz w:val="22"/>
          <w:szCs w:val="22"/>
        </w:rPr>
        <w:t xml:space="preserve">). </w:t>
      </w:r>
      <w:r w:rsidR="005755BD" w:rsidRPr="0003060E">
        <w:rPr>
          <w:rFonts w:asciiTheme="minorHAnsi" w:hAnsiTheme="minorHAnsi" w:cstheme="minorHAnsi"/>
          <w:sz w:val="22"/>
          <w:szCs w:val="22"/>
        </w:rPr>
        <w:t xml:space="preserve">… </w:t>
      </w:r>
      <w:r w:rsidRPr="0003060E">
        <w:rPr>
          <w:rFonts w:asciiTheme="minorHAnsi" w:hAnsiTheme="minorHAnsi" w:cstheme="minorHAnsi"/>
          <w:sz w:val="22"/>
          <w:szCs w:val="22"/>
        </w:rPr>
        <w:t>In the former case the objection goes towards jurisdiction, and in the latter case, towards admissibility.”</w:t>
      </w:r>
    </w:p>
    <w:p w14:paraId="41EEA62A" w14:textId="7BA07985" w:rsidR="001470E0" w:rsidRPr="0003060E" w:rsidRDefault="005755BD" w:rsidP="00E76D41">
      <w:pPr>
        <w:pStyle w:val="NormalWeb"/>
        <w:spacing w:before="120" w:beforeAutospacing="0"/>
        <w:jc w:val="both"/>
        <w:rPr>
          <w:rFonts w:asciiTheme="minorHAnsi" w:hAnsiTheme="minorHAnsi" w:cstheme="minorHAnsi"/>
          <w:sz w:val="22"/>
          <w:szCs w:val="22"/>
        </w:rPr>
      </w:pPr>
      <w:r w:rsidRPr="0003060E">
        <w:rPr>
          <w:rFonts w:asciiTheme="minorHAnsi" w:hAnsiTheme="minorHAnsi" w:cstheme="minorHAnsi"/>
          <w:color w:val="000000"/>
          <w:sz w:val="22"/>
          <w:szCs w:val="22"/>
          <w:lang w:val="en-US"/>
        </w:rPr>
        <w:t xml:space="preserve">Ng further wondered how </w:t>
      </w:r>
      <w:r w:rsidR="00A923D6" w:rsidRPr="0003060E">
        <w:rPr>
          <w:rFonts w:asciiTheme="minorHAnsi" w:hAnsiTheme="minorHAnsi" w:cstheme="minorHAnsi"/>
          <w:color w:val="000000"/>
          <w:sz w:val="22"/>
          <w:szCs w:val="22"/>
          <w:lang w:val="en-US"/>
        </w:rPr>
        <w:t xml:space="preserve">Singaporean and other courts might address instead </w:t>
      </w:r>
      <w:proofErr w:type="gramStart"/>
      <w:r w:rsidR="00A923D6" w:rsidRPr="0003060E">
        <w:rPr>
          <w:rFonts w:asciiTheme="minorHAnsi" w:hAnsiTheme="minorHAnsi" w:cstheme="minorHAnsi"/>
          <w:color w:val="000000"/>
          <w:sz w:val="22"/>
          <w:szCs w:val="22"/>
          <w:lang w:val="en-US"/>
        </w:rPr>
        <w:t>contractually-agreed</w:t>
      </w:r>
      <w:proofErr w:type="gramEnd"/>
      <w:r w:rsidR="00A923D6" w:rsidRPr="0003060E">
        <w:rPr>
          <w:rFonts w:asciiTheme="minorHAnsi" w:hAnsiTheme="minorHAnsi" w:cstheme="minorHAnsi"/>
          <w:color w:val="000000"/>
          <w:sz w:val="22"/>
          <w:szCs w:val="22"/>
          <w:lang w:val="en-US"/>
        </w:rPr>
        <w:t xml:space="preserve"> time bar provisions</w:t>
      </w:r>
      <w:r w:rsidRPr="0003060E">
        <w:rPr>
          <w:rFonts w:asciiTheme="minorHAnsi" w:hAnsiTheme="minorHAnsi" w:cstheme="minorHAnsi"/>
          <w:color w:val="000000"/>
          <w:sz w:val="22"/>
          <w:szCs w:val="22"/>
          <w:lang w:val="en-US"/>
        </w:rPr>
        <w:t>, suggesting</w:t>
      </w:r>
      <w:r w:rsidR="001470E0" w:rsidRPr="0003060E">
        <w:rPr>
          <w:rFonts w:asciiTheme="minorHAnsi" w:hAnsiTheme="minorHAnsi" w:cstheme="minorHAnsi"/>
          <w:color w:val="000000"/>
          <w:sz w:val="22"/>
          <w:szCs w:val="22"/>
          <w:lang w:val="en-US"/>
        </w:rPr>
        <w:t xml:space="preserve"> that </w:t>
      </w:r>
      <w:r w:rsidRPr="0003060E">
        <w:rPr>
          <w:rFonts w:asciiTheme="minorHAnsi" w:hAnsiTheme="minorHAnsi" w:cstheme="minorHAnsi"/>
          <w:sz w:val="22"/>
          <w:szCs w:val="22"/>
        </w:rPr>
        <w:t xml:space="preserve">under the “tribunal versus claim” test the results </w:t>
      </w:r>
      <w:r w:rsidR="001470E0" w:rsidRPr="0003060E">
        <w:rPr>
          <w:rFonts w:asciiTheme="minorHAnsi" w:hAnsiTheme="minorHAnsi" w:cstheme="minorHAnsi"/>
          <w:sz w:val="22"/>
          <w:szCs w:val="22"/>
        </w:rPr>
        <w:t>would likely depend on the arbitration agreement’s wording:</w:t>
      </w:r>
      <w:r w:rsidR="001470E0" w:rsidRPr="0003060E">
        <w:rPr>
          <w:rStyle w:val="FootnoteReference"/>
          <w:rFonts w:asciiTheme="minorHAnsi" w:hAnsiTheme="minorHAnsi" w:cstheme="minorHAnsi"/>
          <w:sz w:val="22"/>
          <w:szCs w:val="22"/>
        </w:rPr>
        <w:footnoteReference w:id="128"/>
      </w:r>
      <w:r w:rsidR="001470E0" w:rsidRPr="0003060E">
        <w:rPr>
          <w:rFonts w:asciiTheme="minorHAnsi" w:hAnsiTheme="minorHAnsi" w:cstheme="minorHAnsi"/>
          <w:sz w:val="22"/>
          <w:szCs w:val="22"/>
        </w:rPr>
        <w:t xml:space="preserve"> </w:t>
      </w:r>
    </w:p>
    <w:p w14:paraId="35C7EAE4" w14:textId="1E6E80C5" w:rsidR="001470E0" w:rsidRPr="0003060E" w:rsidRDefault="001470E0" w:rsidP="00E76D41">
      <w:pPr>
        <w:pStyle w:val="NormalWeb"/>
        <w:spacing w:before="120" w:beforeAutospacing="0"/>
        <w:ind w:left="720"/>
        <w:jc w:val="both"/>
        <w:rPr>
          <w:rFonts w:asciiTheme="minorHAnsi" w:hAnsiTheme="minorHAnsi" w:cstheme="minorHAnsi"/>
          <w:sz w:val="22"/>
          <w:szCs w:val="22"/>
        </w:rPr>
      </w:pPr>
      <w:r w:rsidRPr="0003060E">
        <w:rPr>
          <w:rFonts w:asciiTheme="minorHAnsi" w:hAnsiTheme="minorHAnsi" w:cstheme="minorHAnsi"/>
          <w:sz w:val="22"/>
          <w:szCs w:val="22"/>
        </w:rPr>
        <w:t xml:space="preserve">“It may be framed similarly to statutes of limitations, adopting wording such as “no claim shall be brought” or “all claims shall be dismissed” after a specified period. If so, there is no indication that the bringing of time-barred claims is something the parties did not consent to, and the time limit would be construed as targeting the claim and thus a matter of admissibility. Some support for this outcome is found in the Hong Kong Court of Appeal’s decision in </w:t>
      </w:r>
      <w:hyperlink r:id="rId12" w:tgtFrame="_blank" w:history="1">
        <w:r w:rsidRPr="0003060E">
          <w:rPr>
            <w:rStyle w:val="Emphasis"/>
            <w:rFonts w:asciiTheme="minorHAnsi" w:hAnsiTheme="minorHAnsi" w:cstheme="minorHAnsi"/>
            <w:color w:val="000000" w:themeColor="text1"/>
            <w:sz w:val="22"/>
            <w:szCs w:val="22"/>
          </w:rPr>
          <w:t>Grandeur Electricity Co Ltd v Cheung Kee Fung Cheung Construction Co Ltd</w:t>
        </w:r>
      </w:hyperlink>
      <w:r w:rsidRPr="0003060E">
        <w:rPr>
          <w:rFonts w:asciiTheme="minorHAnsi" w:hAnsiTheme="minorHAnsi" w:cstheme="minorHAnsi"/>
          <w:sz w:val="22"/>
          <w:szCs w:val="22"/>
        </w:rPr>
        <w:t xml:space="preserve"> which held that the application of a contractual time bar was for the tribunal to rule on.</w:t>
      </w:r>
    </w:p>
    <w:p w14:paraId="518AF5E2" w14:textId="13EA0ECF" w:rsidR="001470E0" w:rsidRPr="0003060E" w:rsidRDefault="001470E0" w:rsidP="00E76D41">
      <w:pPr>
        <w:pStyle w:val="NormalWeb"/>
        <w:spacing w:before="120" w:beforeAutospacing="0"/>
        <w:ind w:left="720"/>
        <w:jc w:val="both"/>
        <w:rPr>
          <w:rFonts w:asciiTheme="minorHAnsi" w:hAnsiTheme="minorHAnsi" w:cstheme="minorHAnsi"/>
          <w:sz w:val="22"/>
          <w:szCs w:val="22"/>
        </w:rPr>
      </w:pPr>
      <w:r w:rsidRPr="0003060E">
        <w:rPr>
          <w:rFonts w:asciiTheme="minorHAnsi" w:hAnsiTheme="minorHAnsi" w:cstheme="minorHAnsi"/>
          <w:sz w:val="22"/>
          <w:szCs w:val="22"/>
        </w:rPr>
        <w:t xml:space="preserve">The arbitration clause may also contain “eligibility requirements, prohibiting arbitrators from hearing claims more than a fixed number of years after the alleged wrong occurred”. Such requirements might be construed as restricting the right to arbitrate by defining the scope of </w:t>
      </w:r>
      <w:proofErr w:type="gramStart"/>
      <w:r w:rsidRPr="0003060E">
        <w:rPr>
          <w:rFonts w:asciiTheme="minorHAnsi" w:hAnsiTheme="minorHAnsi" w:cstheme="minorHAnsi"/>
          <w:sz w:val="22"/>
          <w:szCs w:val="22"/>
        </w:rPr>
        <w:t>consent, and</w:t>
      </w:r>
      <w:proofErr w:type="gramEnd"/>
      <w:r w:rsidRPr="0003060E">
        <w:rPr>
          <w:rFonts w:asciiTheme="minorHAnsi" w:hAnsiTheme="minorHAnsi" w:cstheme="minorHAnsi"/>
          <w:sz w:val="22"/>
          <w:szCs w:val="22"/>
        </w:rPr>
        <w:t xml:space="preserve"> could conceivably be regarded as jurisdictional.”</w:t>
      </w:r>
    </w:p>
    <w:p w14:paraId="5E1F90A1" w14:textId="05179C31" w:rsidR="00AB3629" w:rsidRPr="0003060E" w:rsidRDefault="003A3644" w:rsidP="00E76D41">
      <w:pPr>
        <w:pStyle w:val="NormalWeb"/>
        <w:spacing w:before="120" w:beforeAutospacing="0"/>
        <w:jc w:val="both"/>
        <w:rPr>
          <w:rFonts w:asciiTheme="minorHAnsi" w:hAnsiTheme="minorHAnsi" w:cstheme="minorHAnsi"/>
          <w:sz w:val="22"/>
          <w:szCs w:val="22"/>
        </w:rPr>
      </w:pPr>
      <w:r w:rsidRPr="0003060E">
        <w:rPr>
          <w:rFonts w:asciiTheme="minorHAnsi" w:hAnsiTheme="minorHAnsi" w:cstheme="minorHAnsi"/>
          <w:sz w:val="22"/>
          <w:szCs w:val="22"/>
        </w:rPr>
        <w:t>Darius Chan agrees with putting emphasis on the wording used, along also with Dr Michael Hwang. Absent sufficiently clear wording, however, Chan suggests that Singapore should follow</w:t>
      </w:r>
      <w:r w:rsidR="00087EEF" w:rsidRPr="0003060E">
        <w:rPr>
          <w:rFonts w:asciiTheme="minorHAnsi" w:hAnsiTheme="minorHAnsi" w:cstheme="minorHAnsi"/>
          <w:sz w:val="22"/>
          <w:szCs w:val="22"/>
        </w:rPr>
        <w:t xml:space="preserve"> the </w:t>
      </w:r>
      <w:r w:rsidR="00AB3629" w:rsidRPr="0003060E">
        <w:rPr>
          <w:rFonts w:asciiTheme="minorHAnsi" w:hAnsiTheme="minorHAnsi" w:cstheme="minorHAnsi"/>
          <w:sz w:val="22"/>
          <w:szCs w:val="22"/>
        </w:rPr>
        <w:t xml:space="preserve">award creditor’s argument in the </w:t>
      </w:r>
      <w:r w:rsidR="00AB3629" w:rsidRPr="0003060E">
        <w:rPr>
          <w:rFonts w:asciiTheme="minorHAnsi" w:hAnsiTheme="minorHAnsi" w:cstheme="minorHAnsi"/>
          <w:i/>
          <w:iCs/>
          <w:sz w:val="22"/>
          <w:szCs w:val="22"/>
        </w:rPr>
        <w:t xml:space="preserve">C v D </w:t>
      </w:r>
      <w:r w:rsidR="00AB3629" w:rsidRPr="0003060E">
        <w:rPr>
          <w:rFonts w:asciiTheme="minorHAnsi" w:hAnsiTheme="minorHAnsi" w:cstheme="minorHAnsi"/>
          <w:sz w:val="22"/>
          <w:szCs w:val="22"/>
        </w:rPr>
        <w:t>litigation then pending in Hong Kong</w:t>
      </w:r>
      <w:r w:rsidR="00087EEF" w:rsidRPr="0003060E">
        <w:rPr>
          <w:rFonts w:asciiTheme="minorHAnsi" w:hAnsiTheme="minorHAnsi" w:cstheme="minorHAnsi"/>
          <w:sz w:val="22"/>
          <w:szCs w:val="22"/>
        </w:rPr>
        <w:t>:</w:t>
      </w:r>
      <w:r w:rsidR="00AB3629" w:rsidRPr="0003060E">
        <w:rPr>
          <w:rFonts w:asciiTheme="minorHAnsi" w:hAnsiTheme="minorHAnsi" w:cstheme="minorHAnsi"/>
          <w:sz w:val="22"/>
          <w:szCs w:val="22"/>
        </w:rPr>
        <w:t xml:space="preserve"> the presumption should be in favour of admissibility rather than jurisdiction.</w:t>
      </w:r>
      <w:r w:rsidR="00AB3629" w:rsidRPr="0003060E">
        <w:rPr>
          <w:rStyle w:val="FootnoteReference"/>
          <w:rFonts w:asciiTheme="minorHAnsi" w:hAnsiTheme="minorHAnsi" w:cstheme="minorHAnsi"/>
          <w:sz w:val="22"/>
          <w:szCs w:val="22"/>
        </w:rPr>
        <w:footnoteReference w:id="129"/>
      </w:r>
    </w:p>
    <w:p w14:paraId="1546DA24" w14:textId="6DED1AB0" w:rsidR="001470E0" w:rsidRPr="0003060E" w:rsidRDefault="00AB3629" w:rsidP="00E76D41">
      <w:pPr>
        <w:pStyle w:val="NormalWeb"/>
        <w:spacing w:before="120" w:beforeAutospacing="0"/>
        <w:jc w:val="both"/>
        <w:rPr>
          <w:rFonts w:asciiTheme="minorHAnsi" w:hAnsiTheme="minorHAnsi" w:cstheme="minorHAnsi"/>
          <w:sz w:val="22"/>
          <w:szCs w:val="22"/>
        </w:rPr>
      </w:pPr>
      <w:r w:rsidRPr="0003060E">
        <w:rPr>
          <w:rFonts w:asciiTheme="minorHAnsi" w:hAnsiTheme="minorHAnsi" w:cstheme="minorHAnsi"/>
          <w:sz w:val="22"/>
          <w:szCs w:val="22"/>
        </w:rPr>
        <w:t xml:space="preserve">That approach was indeed where the Hong Kong Court of Final Appeal landed in its later judgment rendered </w:t>
      </w:r>
      <w:r w:rsidR="00A82640" w:rsidRPr="0003060E">
        <w:rPr>
          <w:rFonts w:asciiTheme="minorHAnsi" w:hAnsiTheme="minorHAnsi" w:cstheme="minorHAnsi"/>
          <w:sz w:val="22"/>
          <w:szCs w:val="22"/>
        </w:rPr>
        <w:t xml:space="preserve">on 30 June </w:t>
      </w:r>
      <w:r w:rsidR="001470E0" w:rsidRPr="0003060E">
        <w:rPr>
          <w:rFonts w:asciiTheme="minorHAnsi" w:hAnsiTheme="minorHAnsi" w:cstheme="minorHAnsi"/>
          <w:sz w:val="22"/>
          <w:szCs w:val="22"/>
        </w:rPr>
        <w:t>2023</w:t>
      </w:r>
      <w:r w:rsidRPr="0003060E">
        <w:rPr>
          <w:rFonts w:asciiTheme="minorHAnsi" w:hAnsiTheme="minorHAnsi" w:cstheme="minorHAnsi"/>
          <w:sz w:val="22"/>
          <w:szCs w:val="22"/>
        </w:rPr>
        <w:t>.</w:t>
      </w:r>
      <w:r w:rsidR="00A82640" w:rsidRPr="0003060E">
        <w:rPr>
          <w:rStyle w:val="FootnoteReference"/>
          <w:rFonts w:asciiTheme="minorHAnsi" w:hAnsiTheme="minorHAnsi" w:cstheme="minorHAnsi"/>
          <w:sz w:val="22"/>
          <w:szCs w:val="22"/>
        </w:rPr>
        <w:footnoteReference w:id="130"/>
      </w:r>
      <w:r w:rsidR="001470E0" w:rsidRPr="0003060E">
        <w:rPr>
          <w:rFonts w:asciiTheme="minorHAnsi" w:hAnsiTheme="minorHAnsi" w:cstheme="minorHAnsi"/>
          <w:sz w:val="22"/>
          <w:szCs w:val="22"/>
        </w:rPr>
        <w:t xml:space="preserve"> </w:t>
      </w:r>
      <w:r w:rsidRPr="0003060E">
        <w:rPr>
          <w:rFonts w:asciiTheme="minorHAnsi" w:hAnsiTheme="minorHAnsi" w:cstheme="minorHAnsi"/>
          <w:sz w:val="22"/>
          <w:szCs w:val="22"/>
        </w:rPr>
        <w:t>It</w:t>
      </w:r>
      <w:r w:rsidR="001470E0" w:rsidRPr="0003060E">
        <w:rPr>
          <w:rFonts w:asciiTheme="minorHAnsi" w:hAnsiTheme="minorHAnsi" w:cstheme="minorHAnsi"/>
          <w:sz w:val="22"/>
          <w:szCs w:val="22"/>
        </w:rPr>
        <w:t xml:space="preserve"> referred to th</w:t>
      </w:r>
      <w:r w:rsidRPr="0003060E">
        <w:rPr>
          <w:rFonts w:asciiTheme="minorHAnsi" w:hAnsiTheme="minorHAnsi" w:cstheme="minorHAnsi"/>
          <w:sz w:val="22"/>
          <w:szCs w:val="22"/>
        </w:rPr>
        <w:t>e</w:t>
      </w:r>
      <w:r w:rsidR="001470E0" w:rsidRPr="0003060E">
        <w:rPr>
          <w:rFonts w:asciiTheme="minorHAnsi" w:hAnsiTheme="minorHAnsi" w:cstheme="minorHAnsi"/>
          <w:sz w:val="22"/>
          <w:szCs w:val="22"/>
        </w:rPr>
        <w:t xml:space="preserve"> Singapore Court of Appeal</w:t>
      </w:r>
      <w:r w:rsidRPr="0003060E">
        <w:rPr>
          <w:rFonts w:asciiTheme="minorHAnsi" w:hAnsiTheme="minorHAnsi" w:cstheme="minorHAnsi"/>
          <w:sz w:val="22"/>
          <w:szCs w:val="22"/>
        </w:rPr>
        <w:t>’s</w:t>
      </w:r>
      <w:r w:rsidR="001470E0" w:rsidRPr="0003060E">
        <w:rPr>
          <w:rFonts w:asciiTheme="minorHAnsi" w:hAnsiTheme="minorHAnsi" w:cstheme="minorHAnsi"/>
          <w:sz w:val="22"/>
          <w:szCs w:val="22"/>
        </w:rPr>
        <w:t xml:space="preserve"> decision</w:t>
      </w:r>
      <w:r w:rsidRPr="0003060E">
        <w:rPr>
          <w:rFonts w:asciiTheme="minorHAnsi" w:hAnsiTheme="minorHAnsi" w:cstheme="minorHAnsi"/>
          <w:sz w:val="22"/>
          <w:szCs w:val="22"/>
        </w:rPr>
        <w:t xml:space="preserve"> in </w:t>
      </w:r>
      <w:r w:rsidRPr="0003060E">
        <w:rPr>
          <w:rFonts w:asciiTheme="minorHAnsi" w:hAnsiTheme="minorHAnsi" w:cstheme="minorHAnsi"/>
          <w:i/>
          <w:iCs/>
          <w:sz w:val="22"/>
          <w:szCs w:val="22"/>
        </w:rPr>
        <w:t>BBA v BAZ</w:t>
      </w:r>
      <w:r w:rsidR="001470E0" w:rsidRPr="0003060E">
        <w:rPr>
          <w:rFonts w:asciiTheme="minorHAnsi" w:hAnsiTheme="minorHAnsi" w:cstheme="minorHAnsi"/>
          <w:sz w:val="22"/>
          <w:szCs w:val="22"/>
        </w:rPr>
        <w:t xml:space="preserve">, but more </w:t>
      </w:r>
      <w:r w:rsidR="005755BD" w:rsidRPr="0003060E">
        <w:rPr>
          <w:rFonts w:asciiTheme="minorHAnsi" w:hAnsiTheme="minorHAnsi" w:cstheme="minorHAnsi"/>
          <w:sz w:val="22"/>
          <w:szCs w:val="22"/>
        </w:rPr>
        <w:t xml:space="preserve">pertinently case law from England and </w:t>
      </w:r>
      <w:r w:rsidR="00A82640" w:rsidRPr="0003060E">
        <w:rPr>
          <w:rFonts w:asciiTheme="minorHAnsi" w:hAnsiTheme="minorHAnsi" w:cstheme="minorHAnsi"/>
          <w:sz w:val="22"/>
          <w:szCs w:val="22"/>
        </w:rPr>
        <w:t>Australia</w:t>
      </w:r>
      <w:r w:rsidRPr="0003060E">
        <w:rPr>
          <w:rFonts w:asciiTheme="minorHAnsi" w:hAnsiTheme="minorHAnsi" w:cstheme="minorHAnsi"/>
          <w:sz w:val="22"/>
          <w:szCs w:val="22"/>
        </w:rPr>
        <w:t xml:space="preserve"> involving contractually-agreed limitations</w:t>
      </w:r>
      <w:r w:rsidR="005755BD" w:rsidRPr="0003060E">
        <w:rPr>
          <w:rFonts w:asciiTheme="minorHAnsi" w:hAnsiTheme="minorHAnsi" w:cstheme="minorHAnsi"/>
          <w:sz w:val="22"/>
          <w:szCs w:val="22"/>
        </w:rPr>
        <w:t>,</w:t>
      </w:r>
      <w:r w:rsidR="00A82640" w:rsidRPr="0003060E">
        <w:rPr>
          <w:rStyle w:val="FootnoteReference"/>
          <w:rFonts w:asciiTheme="minorHAnsi" w:hAnsiTheme="minorHAnsi" w:cstheme="minorHAnsi"/>
          <w:sz w:val="22"/>
          <w:szCs w:val="22"/>
        </w:rPr>
        <w:footnoteReference w:id="131"/>
      </w:r>
      <w:r w:rsidR="005755BD" w:rsidRPr="0003060E">
        <w:rPr>
          <w:rFonts w:asciiTheme="minorHAnsi" w:hAnsiTheme="minorHAnsi" w:cstheme="minorHAnsi"/>
          <w:sz w:val="22"/>
          <w:szCs w:val="22"/>
        </w:rPr>
        <w:t xml:space="preserve"> to conclude that </w:t>
      </w:r>
      <w:r w:rsidR="00A82640" w:rsidRPr="0003060E">
        <w:rPr>
          <w:rFonts w:asciiTheme="minorHAnsi" w:hAnsiTheme="minorHAnsi" w:cstheme="minorHAnsi"/>
          <w:sz w:val="22"/>
          <w:szCs w:val="22"/>
        </w:rPr>
        <w:t xml:space="preserve">compliance with </w:t>
      </w:r>
      <w:r w:rsidR="00DF5F6B" w:rsidRPr="0003060E">
        <w:rPr>
          <w:rFonts w:asciiTheme="minorHAnsi" w:hAnsiTheme="minorHAnsi" w:cstheme="minorHAnsi"/>
          <w:sz w:val="22"/>
          <w:szCs w:val="22"/>
        </w:rPr>
        <w:t>an</w:t>
      </w:r>
      <w:r w:rsidR="005755BD" w:rsidRPr="0003060E">
        <w:rPr>
          <w:rFonts w:asciiTheme="minorHAnsi" w:hAnsiTheme="minorHAnsi" w:cstheme="minorHAnsi"/>
          <w:sz w:val="22"/>
          <w:szCs w:val="22"/>
        </w:rPr>
        <w:t xml:space="preserve"> </w:t>
      </w:r>
      <w:r w:rsidR="00A82640" w:rsidRPr="0003060E">
        <w:rPr>
          <w:rFonts w:asciiTheme="minorHAnsi" w:hAnsiTheme="minorHAnsi" w:cstheme="minorHAnsi"/>
          <w:sz w:val="22"/>
          <w:szCs w:val="22"/>
        </w:rPr>
        <w:t>agreed pre-arbitration step</w:t>
      </w:r>
      <w:r w:rsidR="00DF5F6B" w:rsidRPr="0003060E">
        <w:rPr>
          <w:rFonts w:asciiTheme="minorHAnsi" w:hAnsiTheme="minorHAnsi" w:cstheme="minorHAnsi"/>
          <w:sz w:val="22"/>
          <w:szCs w:val="22"/>
        </w:rPr>
        <w:t xml:space="preserve"> (such as negotiations, in this case)</w:t>
      </w:r>
      <w:r w:rsidR="00A82640" w:rsidRPr="0003060E">
        <w:rPr>
          <w:rFonts w:asciiTheme="minorHAnsi" w:hAnsiTheme="minorHAnsi" w:cstheme="minorHAnsi"/>
          <w:sz w:val="22"/>
          <w:szCs w:val="22"/>
        </w:rPr>
        <w:t xml:space="preserve"> should </w:t>
      </w:r>
      <w:r w:rsidR="00DF5F6B" w:rsidRPr="0003060E">
        <w:rPr>
          <w:rFonts w:asciiTheme="minorHAnsi" w:hAnsiTheme="minorHAnsi" w:cstheme="minorHAnsi"/>
          <w:sz w:val="22"/>
          <w:szCs w:val="22"/>
        </w:rPr>
        <w:t xml:space="preserve">generally </w:t>
      </w:r>
      <w:r w:rsidR="00A82640" w:rsidRPr="0003060E">
        <w:rPr>
          <w:rFonts w:asciiTheme="minorHAnsi" w:hAnsiTheme="minorHAnsi" w:cstheme="minorHAnsi"/>
          <w:sz w:val="22"/>
          <w:szCs w:val="22"/>
        </w:rPr>
        <w:t xml:space="preserve">go </w:t>
      </w:r>
      <w:r w:rsidR="00DF5F6B" w:rsidRPr="0003060E">
        <w:rPr>
          <w:rFonts w:asciiTheme="minorHAnsi" w:hAnsiTheme="minorHAnsi" w:cstheme="minorHAnsi"/>
          <w:sz w:val="22"/>
          <w:szCs w:val="22"/>
        </w:rPr>
        <w:t xml:space="preserve">to </w:t>
      </w:r>
      <w:r w:rsidR="00A82640" w:rsidRPr="0003060E">
        <w:rPr>
          <w:rFonts w:asciiTheme="minorHAnsi" w:hAnsiTheme="minorHAnsi" w:cstheme="minorHAnsi"/>
          <w:sz w:val="22"/>
          <w:szCs w:val="22"/>
        </w:rPr>
        <w:t>admissibility rather than</w:t>
      </w:r>
      <w:r w:rsidR="00DF5F6B" w:rsidRPr="0003060E">
        <w:rPr>
          <w:rFonts w:asciiTheme="minorHAnsi" w:hAnsiTheme="minorHAnsi" w:cstheme="minorHAnsi"/>
          <w:sz w:val="22"/>
          <w:szCs w:val="22"/>
        </w:rPr>
        <w:t xml:space="preserve"> jurisdiction. Some commentators warmly welcomed the decision, arguing it will:</w:t>
      </w:r>
      <w:r w:rsidR="00DF5F6B" w:rsidRPr="0003060E">
        <w:rPr>
          <w:rStyle w:val="FootnoteReference"/>
          <w:rFonts w:asciiTheme="minorHAnsi" w:hAnsiTheme="minorHAnsi" w:cstheme="minorHAnsi"/>
          <w:sz w:val="22"/>
          <w:szCs w:val="22"/>
        </w:rPr>
        <w:footnoteReference w:id="132"/>
      </w:r>
    </w:p>
    <w:p w14:paraId="43CB2B6D" w14:textId="2C43B860" w:rsidR="00DF5F6B" w:rsidRPr="0003060E" w:rsidRDefault="00DF5F6B" w:rsidP="00E76D41">
      <w:pPr>
        <w:pStyle w:val="NormalWeb"/>
        <w:spacing w:before="120" w:beforeAutospacing="0"/>
        <w:ind w:left="720"/>
        <w:jc w:val="both"/>
        <w:rPr>
          <w:rFonts w:asciiTheme="minorHAnsi" w:hAnsiTheme="minorHAnsi" w:cstheme="minorHAnsi"/>
          <w:sz w:val="22"/>
          <w:szCs w:val="22"/>
        </w:rPr>
      </w:pPr>
      <w:r w:rsidRPr="0003060E">
        <w:rPr>
          <w:rFonts w:asciiTheme="minorHAnsi" w:hAnsiTheme="minorHAnsi" w:cstheme="minorHAnsi"/>
          <w:sz w:val="22"/>
          <w:szCs w:val="22"/>
        </w:rPr>
        <w:lastRenderedPageBreak/>
        <w:t>“</w:t>
      </w:r>
      <w:proofErr w:type="gramStart"/>
      <w:r w:rsidRPr="0003060E">
        <w:rPr>
          <w:rFonts w:asciiTheme="minorHAnsi" w:hAnsiTheme="minorHAnsi" w:cstheme="minorHAnsi"/>
          <w:sz w:val="22"/>
          <w:szCs w:val="22"/>
        </w:rPr>
        <w:t>further</w:t>
      </w:r>
      <w:proofErr w:type="gramEnd"/>
      <w:r w:rsidRPr="0003060E">
        <w:rPr>
          <w:rFonts w:asciiTheme="minorHAnsi" w:hAnsiTheme="minorHAnsi" w:cstheme="minorHAnsi"/>
          <w:sz w:val="22"/>
          <w:szCs w:val="22"/>
        </w:rPr>
        <w:t xml:space="preserve"> underscore Hong Kong’s reputation as a pro-arbitration jurisdiction, where the courts will be slow to interfere with decisions of arbitrators absent compelling circumstances.  The decision also places Hong Kong firmly in line with international arbitration hubs, such as England &amp; Wales and Singapore.”</w:t>
      </w:r>
    </w:p>
    <w:p w14:paraId="76C3B00D" w14:textId="5F015516" w:rsidR="00F154A8" w:rsidRPr="0003060E" w:rsidRDefault="00087EEF" w:rsidP="00E76D41">
      <w:pPr>
        <w:spacing w:before="120"/>
        <w:jc w:val="both"/>
        <w:rPr>
          <w:rFonts w:asciiTheme="minorHAnsi" w:hAnsiTheme="minorHAnsi" w:cstheme="minorHAnsi"/>
          <w:color w:val="000000"/>
        </w:rPr>
      </w:pPr>
      <w:r w:rsidRPr="0003060E">
        <w:rPr>
          <w:rFonts w:asciiTheme="minorHAnsi" w:hAnsiTheme="minorHAnsi" w:cstheme="minorHAnsi"/>
          <w:color w:val="000000"/>
        </w:rPr>
        <w:t xml:space="preserve">Whether this is true for Singapore will need to await a case involving a contractually agreed negotiation or mediation step prior to arbitration. Ideally then a precedent should be established by Singapore’s Court of Appeal, given the 2012 High Court judgment holding that such steps are instead pre-conditions to arbitral jurisdiction. </w:t>
      </w:r>
      <w:r w:rsidR="00DF5F6B" w:rsidRPr="0003060E">
        <w:rPr>
          <w:rFonts w:asciiTheme="minorHAnsi" w:hAnsiTheme="minorHAnsi" w:cstheme="minorHAnsi"/>
          <w:color w:val="000000"/>
        </w:rPr>
        <w:t xml:space="preserve">Furthermore, although the </w:t>
      </w:r>
      <w:r w:rsidR="00DF5F6B" w:rsidRPr="0003060E">
        <w:rPr>
          <w:rFonts w:asciiTheme="minorHAnsi" w:hAnsiTheme="minorHAnsi" w:cstheme="minorHAnsi"/>
          <w:i/>
          <w:iCs/>
          <w:color w:val="000000"/>
        </w:rPr>
        <w:t>C v D</w:t>
      </w:r>
      <w:r w:rsidR="00DF5F6B" w:rsidRPr="0003060E">
        <w:rPr>
          <w:rFonts w:asciiTheme="minorHAnsi" w:hAnsiTheme="minorHAnsi" w:cstheme="minorHAnsi"/>
          <w:color w:val="000000"/>
        </w:rPr>
        <w:t xml:space="preserve"> judgment in Hong Kong and others elsewhere in similar vein can </w:t>
      </w:r>
      <w:r w:rsidR="00AB3629" w:rsidRPr="0003060E">
        <w:rPr>
          <w:rFonts w:asciiTheme="minorHAnsi" w:hAnsiTheme="minorHAnsi" w:cstheme="minorHAnsi"/>
          <w:color w:val="000000"/>
        </w:rPr>
        <w:t xml:space="preserve">indeed </w:t>
      </w:r>
      <w:r w:rsidR="00DF5F6B" w:rsidRPr="0003060E">
        <w:rPr>
          <w:rFonts w:asciiTheme="minorHAnsi" w:hAnsiTheme="minorHAnsi" w:cstheme="minorHAnsi"/>
          <w:color w:val="000000"/>
        </w:rPr>
        <w:t>be seen as “pro-arbitration” in that they give deference to the tribunal to rule of admissibility, the alternative of treating the pre-arbitration steps as pre-conditions to arbitral jurisdiction could be seen as “pro-ADR”. The latter description is apposite because they give more role for the courts to ensure that agreed procedures like good faith negotiations at various levels or mediation are properly interpreted and applied by parties and their legal advisors.</w:t>
      </w:r>
      <w:r w:rsidR="00C005BB" w:rsidRPr="0003060E">
        <w:rPr>
          <w:rFonts w:asciiTheme="minorHAnsi" w:hAnsiTheme="minorHAnsi" w:cstheme="minorHAnsi"/>
          <w:color w:val="000000"/>
        </w:rPr>
        <w:t xml:space="preserve"> Singapore and other jurisdictions are now in the business of promoting not just cross-border arbitration but also other ADR mechanisms, especially mediation.</w:t>
      </w:r>
    </w:p>
    <w:p w14:paraId="288A167F" w14:textId="00602BA6" w:rsidR="00936A06" w:rsidRPr="0003060E" w:rsidRDefault="00C005BB" w:rsidP="00E76D41">
      <w:pPr>
        <w:spacing w:before="120"/>
        <w:jc w:val="both"/>
        <w:rPr>
          <w:rFonts w:asciiTheme="minorHAnsi" w:hAnsiTheme="minorHAnsi" w:cstheme="minorHAnsi"/>
          <w:color w:val="000000"/>
        </w:rPr>
      </w:pPr>
      <w:r w:rsidRPr="0003060E">
        <w:rPr>
          <w:rFonts w:asciiTheme="minorHAnsi" w:hAnsiTheme="minorHAnsi" w:cstheme="minorHAnsi"/>
          <w:color w:val="000000"/>
        </w:rPr>
        <w:t xml:space="preserve">A more nuanced solution is probably needed. The outcome should first depend on the </w:t>
      </w:r>
      <w:r w:rsidRPr="0003060E">
        <w:rPr>
          <w:rFonts w:asciiTheme="minorHAnsi" w:hAnsiTheme="minorHAnsi" w:cstheme="minorHAnsi"/>
          <w:i/>
          <w:iCs/>
          <w:color w:val="000000"/>
        </w:rPr>
        <w:t xml:space="preserve">wording </w:t>
      </w:r>
      <w:r w:rsidRPr="0003060E">
        <w:rPr>
          <w:rFonts w:asciiTheme="minorHAnsi" w:hAnsiTheme="minorHAnsi" w:cstheme="minorHAnsi"/>
          <w:color w:val="000000"/>
        </w:rPr>
        <w:t>chosen by the parties, as mentioned above by Iris Ng and by other commentators and courts.</w:t>
      </w:r>
      <w:r w:rsidR="00913042" w:rsidRPr="0003060E">
        <w:rPr>
          <w:rStyle w:val="FootnoteReference"/>
          <w:rFonts w:asciiTheme="minorHAnsi" w:hAnsiTheme="minorHAnsi" w:cstheme="minorHAnsi"/>
          <w:color w:val="000000"/>
        </w:rPr>
        <w:footnoteReference w:id="133"/>
      </w:r>
      <w:r w:rsidRPr="0003060E">
        <w:rPr>
          <w:rFonts w:asciiTheme="minorHAnsi" w:hAnsiTheme="minorHAnsi" w:cstheme="minorHAnsi"/>
          <w:color w:val="000000"/>
        </w:rPr>
        <w:t xml:space="preserve"> Arbitral institutions could assist by redrafting their model med-arb clauses, for example, yet curiously they do not appear to have done so.</w:t>
      </w:r>
      <w:r w:rsidR="009D2BD0" w:rsidRPr="0003060E">
        <w:rPr>
          <w:rStyle w:val="FootnoteReference"/>
          <w:rFonts w:asciiTheme="minorHAnsi" w:hAnsiTheme="minorHAnsi" w:cstheme="minorHAnsi"/>
          <w:color w:val="000000"/>
        </w:rPr>
        <w:footnoteReference w:id="134"/>
      </w:r>
      <w:r w:rsidRPr="0003060E">
        <w:rPr>
          <w:rFonts w:asciiTheme="minorHAnsi" w:hAnsiTheme="minorHAnsi" w:cstheme="minorHAnsi"/>
          <w:color w:val="000000"/>
        </w:rPr>
        <w:t xml:space="preserve"> This may be because they mostly derive their income from arbitrations rather than mediations, so want to leave open the admissibility approach to favour the arbitral process.</w:t>
      </w:r>
    </w:p>
    <w:p w14:paraId="27116986" w14:textId="38EADF15" w:rsidR="00C005BB" w:rsidRPr="0003060E" w:rsidRDefault="00C005BB" w:rsidP="00E76D41">
      <w:pPr>
        <w:spacing w:before="120"/>
        <w:jc w:val="both"/>
        <w:rPr>
          <w:rFonts w:asciiTheme="minorHAnsi" w:hAnsiTheme="minorHAnsi" w:cstheme="minorHAnsi"/>
          <w:color w:val="000000"/>
        </w:rPr>
      </w:pPr>
      <w:r w:rsidRPr="0003060E">
        <w:rPr>
          <w:rFonts w:asciiTheme="minorHAnsi" w:hAnsiTheme="minorHAnsi" w:cstheme="minorHAnsi"/>
          <w:color w:val="000000"/>
        </w:rPr>
        <w:t xml:space="preserve">Secondly, the outcome </w:t>
      </w:r>
      <w:r w:rsidR="00936A06" w:rsidRPr="0003060E">
        <w:rPr>
          <w:rFonts w:asciiTheme="minorHAnsi" w:hAnsiTheme="minorHAnsi" w:cstheme="minorHAnsi"/>
          <w:color w:val="000000"/>
        </w:rPr>
        <w:t>might usefully</w:t>
      </w:r>
      <w:r w:rsidRPr="0003060E">
        <w:rPr>
          <w:rFonts w:asciiTheme="minorHAnsi" w:hAnsiTheme="minorHAnsi" w:cstheme="minorHAnsi"/>
          <w:color w:val="000000"/>
        </w:rPr>
        <w:t xml:space="preserve"> vary depending on the </w:t>
      </w:r>
      <w:r w:rsidRPr="0003060E">
        <w:rPr>
          <w:rFonts w:asciiTheme="minorHAnsi" w:hAnsiTheme="minorHAnsi" w:cstheme="minorHAnsi"/>
          <w:i/>
          <w:iCs/>
          <w:color w:val="000000"/>
        </w:rPr>
        <w:t>type of pre-arbitration step</w:t>
      </w:r>
      <w:r w:rsidRPr="0003060E">
        <w:rPr>
          <w:rFonts w:asciiTheme="minorHAnsi" w:hAnsiTheme="minorHAnsi" w:cstheme="minorHAnsi"/>
          <w:color w:val="000000"/>
        </w:rPr>
        <w:t xml:space="preserve"> agreed by the parties. For a vaguer and less costly “good faith negotiation” requirement, the general principle could be that this goes to admissibility of claims</w:t>
      </w:r>
      <w:r w:rsidR="002C16B8" w:rsidRPr="0003060E">
        <w:rPr>
          <w:rFonts w:asciiTheme="minorHAnsi" w:hAnsiTheme="minorHAnsi" w:cstheme="minorHAnsi"/>
          <w:color w:val="000000"/>
        </w:rPr>
        <w:t>,</w:t>
      </w:r>
      <w:r w:rsidRPr="0003060E">
        <w:rPr>
          <w:rFonts w:asciiTheme="minorHAnsi" w:hAnsiTheme="minorHAnsi" w:cstheme="minorHAnsi"/>
          <w:color w:val="000000"/>
        </w:rPr>
        <w:t xml:space="preserve"> so the tribunal decides on compliance with the step. For a requirement instead that specific mediation rules should first be followed, the general principle could be instead that this goes to jurisdiction</w:t>
      </w:r>
      <w:r w:rsidR="00936A06" w:rsidRPr="0003060E">
        <w:rPr>
          <w:rFonts w:asciiTheme="minorHAnsi" w:hAnsiTheme="minorHAnsi" w:cstheme="minorHAnsi"/>
          <w:color w:val="000000"/>
        </w:rPr>
        <w:t xml:space="preserve">. Accordingly, the </w:t>
      </w:r>
      <w:r w:rsidRPr="0003060E">
        <w:rPr>
          <w:rFonts w:asciiTheme="minorHAnsi" w:hAnsiTheme="minorHAnsi" w:cstheme="minorHAnsi"/>
          <w:color w:val="000000"/>
        </w:rPr>
        <w:t>courts c</w:t>
      </w:r>
      <w:r w:rsidR="00936A06" w:rsidRPr="0003060E">
        <w:rPr>
          <w:rFonts w:asciiTheme="minorHAnsi" w:hAnsiTheme="minorHAnsi" w:cstheme="minorHAnsi"/>
          <w:color w:val="000000"/>
        </w:rPr>
        <w:t>ould</w:t>
      </w:r>
      <w:r w:rsidRPr="0003060E">
        <w:rPr>
          <w:rFonts w:asciiTheme="minorHAnsi" w:hAnsiTheme="minorHAnsi" w:cstheme="minorHAnsi"/>
          <w:color w:val="000000"/>
        </w:rPr>
        <w:t xml:space="preserve"> </w:t>
      </w:r>
      <w:r w:rsidR="00936A06" w:rsidRPr="0003060E">
        <w:rPr>
          <w:rFonts w:asciiTheme="minorHAnsi" w:hAnsiTheme="minorHAnsi" w:cstheme="minorHAnsi"/>
          <w:color w:val="000000"/>
        </w:rPr>
        <w:t>ultimately decide whether the mediation was done properly (perhaps after the tribunal is formed and rules on its own jurisdiction under the competence-competence principle under ML Art 16</w:t>
      </w:r>
      <w:r w:rsidR="00913042" w:rsidRPr="0003060E">
        <w:rPr>
          <w:rFonts w:asciiTheme="minorHAnsi" w:hAnsiTheme="minorHAnsi" w:cstheme="minorHAnsi"/>
          <w:color w:val="000000"/>
        </w:rPr>
        <w:t xml:space="preserve"> or equivalents</w:t>
      </w:r>
      <w:r w:rsidR="00936A06" w:rsidRPr="0003060E">
        <w:rPr>
          <w:rFonts w:asciiTheme="minorHAnsi" w:hAnsiTheme="minorHAnsi" w:cstheme="minorHAnsi"/>
          <w:color w:val="000000"/>
        </w:rPr>
        <w:t>).</w:t>
      </w:r>
    </w:p>
    <w:p w14:paraId="5D587F39" w14:textId="2798FD80" w:rsidR="00936A06" w:rsidRPr="0003060E" w:rsidRDefault="00936A06" w:rsidP="00E76D41">
      <w:pPr>
        <w:spacing w:before="120"/>
        <w:jc w:val="both"/>
        <w:rPr>
          <w:rFonts w:asciiTheme="minorHAnsi" w:hAnsiTheme="minorHAnsi" w:cstheme="minorHAnsi"/>
          <w:color w:val="000000"/>
        </w:rPr>
      </w:pPr>
      <w:r w:rsidRPr="0003060E">
        <w:rPr>
          <w:rFonts w:asciiTheme="minorHAnsi" w:hAnsiTheme="minorHAnsi" w:cstheme="minorHAnsi"/>
          <w:color w:val="000000"/>
        </w:rPr>
        <w:t xml:space="preserve">Thirdly, the approach and outcome could vary depending on </w:t>
      </w:r>
      <w:r w:rsidRPr="0003060E">
        <w:rPr>
          <w:rFonts w:asciiTheme="minorHAnsi" w:hAnsiTheme="minorHAnsi" w:cstheme="minorHAnsi"/>
          <w:i/>
          <w:iCs/>
          <w:color w:val="000000"/>
        </w:rPr>
        <w:t>when</w:t>
      </w:r>
      <w:r w:rsidRPr="0003060E">
        <w:rPr>
          <w:rFonts w:asciiTheme="minorHAnsi" w:hAnsiTheme="minorHAnsi" w:cstheme="minorHAnsi"/>
          <w:color w:val="000000"/>
        </w:rPr>
        <w:t xml:space="preserve"> the issue of compliance with the pre-arbitration steps was enlivened. If raised early in the dispute, when one party seeks a stay of proceedings to proceed to arbitration but the other alleges the tribunal has no jurisdiction because earlier steps such as mediation were pre-conditions, the matter can be </w:t>
      </w:r>
      <w:r w:rsidRPr="0003060E">
        <w:rPr>
          <w:rFonts w:asciiTheme="minorHAnsi" w:hAnsiTheme="minorHAnsi" w:cstheme="minorHAnsi"/>
          <w:color w:val="000000"/>
        </w:rPr>
        <w:lastRenderedPageBreak/>
        <w:t>resolved quite efficiently by courts.</w:t>
      </w:r>
      <w:r w:rsidRPr="0003060E">
        <w:rPr>
          <w:rStyle w:val="FootnoteReference"/>
          <w:rFonts w:asciiTheme="minorHAnsi" w:hAnsiTheme="minorHAnsi" w:cstheme="minorHAnsi"/>
          <w:color w:val="000000"/>
        </w:rPr>
        <w:footnoteReference w:id="135"/>
      </w:r>
      <w:r w:rsidR="00087EEF" w:rsidRPr="0003060E">
        <w:rPr>
          <w:rFonts w:asciiTheme="minorHAnsi" w:hAnsiTheme="minorHAnsi" w:cstheme="minorHAnsi"/>
          <w:color w:val="000000"/>
        </w:rPr>
        <w:t xml:space="preserve"> (Case law </w:t>
      </w:r>
      <w:r w:rsidR="00A35E17" w:rsidRPr="0003060E">
        <w:rPr>
          <w:rFonts w:asciiTheme="minorHAnsi" w:hAnsiTheme="minorHAnsi" w:cstheme="minorHAnsi"/>
          <w:color w:val="000000"/>
        </w:rPr>
        <w:t xml:space="preserve">and commentary on this point too, however, </w:t>
      </w:r>
      <w:r w:rsidR="00976391" w:rsidRPr="0003060E">
        <w:rPr>
          <w:rFonts w:asciiTheme="minorHAnsi" w:hAnsiTheme="minorHAnsi" w:cstheme="minorHAnsi"/>
          <w:color w:val="000000"/>
        </w:rPr>
        <w:t>appears quite in</w:t>
      </w:r>
      <w:r w:rsidR="00A35E17" w:rsidRPr="0003060E">
        <w:rPr>
          <w:rFonts w:asciiTheme="minorHAnsi" w:hAnsiTheme="minorHAnsi" w:cstheme="minorHAnsi"/>
          <w:color w:val="000000"/>
        </w:rPr>
        <w:t>conclusive</w:t>
      </w:r>
      <w:r w:rsidR="00087EEF" w:rsidRPr="0003060E">
        <w:rPr>
          <w:rFonts w:asciiTheme="minorHAnsi" w:hAnsiTheme="minorHAnsi" w:cstheme="minorHAnsi"/>
          <w:color w:val="000000"/>
        </w:rPr>
        <w:t>.</w:t>
      </w:r>
      <w:r w:rsidR="00087EEF" w:rsidRPr="0003060E">
        <w:rPr>
          <w:rStyle w:val="FootnoteReference"/>
          <w:rFonts w:asciiTheme="minorHAnsi" w:hAnsiTheme="minorHAnsi" w:cstheme="minorHAnsi"/>
          <w:color w:val="000000"/>
        </w:rPr>
        <w:footnoteReference w:id="136"/>
      </w:r>
      <w:r w:rsidR="00087EEF" w:rsidRPr="0003060E">
        <w:rPr>
          <w:rFonts w:asciiTheme="minorHAnsi" w:hAnsiTheme="minorHAnsi" w:cstheme="minorHAnsi"/>
          <w:color w:val="000000"/>
        </w:rPr>
        <w:t xml:space="preserve">) </w:t>
      </w:r>
      <w:r w:rsidRPr="0003060E">
        <w:rPr>
          <w:rFonts w:asciiTheme="minorHAnsi" w:hAnsiTheme="minorHAnsi" w:cstheme="minorHAnsi"/>
          <w:color w:val="000000"/>
        </w:rPr>
        <w:t>By contrast, if the complaint is raised at the award stage, efficiency would favour treating the issue as going to admissibility of claims</w:t>
      </w:r>
      <w:r w:rsidR="005A19DB" w:rsidRPr="0003060E">
        <w:rPr>
          <w:rFonts w:asciiTheme="minorHAnsi" w:hAnsiTheme="minorHAnsi" w:cstheme="minorHAnsi"/>
          <w:color w:val="000000"/>
        </w:rPr>
        <w:t>. A main consequence would be that</w:t>
      </w:r>
      <w:r w:rsidRPr="0003060E">
        <w:rPr>
          <w:rFonts w:asciiTheme="minorHAnsi" w:hAnsiTheme="minorHAnsi" w:cstheme="minorHAnsi"/>
          <w:color w:val="000000"/>
        </w:rPr>
        <w:t xml:space="preserve"> the arbitrator’s decisions on whether prior steps were complied with would not be struck down as erroneous by courts,</w:t>
      </w:r>
      <w:r w:rsidR="005A19DB" w:rsidRPr="0003060E">
        <w:rPr>
          <w:rFonts w:asciiTheme="minorHAnsi" w:hAnsiTheme="minorHAnsi" w:cstheme="minorHAnsi"/>
          <w:color w:val="000000"/>
        </w:rPr>
        <w:t xml:space="preserve"> thereby</w:t>
      </w:r>
      <w:r w:rsidRPr="0003060E">
        <w:rPr>
          <w:rFonts w:asciiTheme="minorHAnsi" w:hAnsiTheme="minorHAnsi" w:cstheme="minorHAnsi"/>
          <w:color w:val="000000"/>
        </w:rPr>
        <w:t xml:space="preserve"> triggering a whole new arbitration process.</w:t>
      </w:r>
      <w:r w:rsidRPr="0003060E">
        <w:rPr>
          <w:rStyle w:val="FootnoteReference"/>
          <w:rFonts w:asciiTheme="minorHAnsi" w:hAnsiTheme="minorHAnsi" w:cstheme="minorHAnsi"/>
          <w:color w:val="000000"/>
        </w:rPr>
        <w:footnoteReference w:id="137"/>
      </w:r>
    </w:p>
    <w:p w14:paraId="2451DC86" w14:textId="48403FB9" w:rsidR="00A923D6" w:rsidRPr="0003060E" w:rsidRDefault="00936A06" w:rsidP="00E76D41">
      <w:pPr>
        <w:spacing w:before="120"/>
        <w:jc w:val="both"/>
        <w:rPr>
          <w:rFonts w:asciiTheme="minorHAnsi" w:hAnsiTheme="minorHAnsi" w:cstheme="minorHAnsi"/>
          <w:color w:val="000000"/>
          <w:lang w:val="en-US"/>
        </w:rPr>
      </w:pPr>
      <w:r w:rsidRPr="0003060E">
        <w:rPr>
          <w:rFonts w:asciiTheme="minorHAnsi" w:hAnsiTheme="minorHAnsi" w:cstheme="minorHAnsi"/>
          <w:color w:val="000000"/>
          <w:lang w:val="en-US"/>
        </w:rPr>
        <w:t>Fourthly, where one falls on this</w:t>
      </w:r>
      <w:r w:rsidR="005A19DB" w:rsidRPr="0003060E">
        <w:rPr>
          <w:rFonts w:asciiTheme="minorHAnsi" w:hAnsiTheme="minorHAnsi" w:cstheme="minorHAnsi"/>
          <w:color w:val="000000"/>
          <w:lang w:val="en-US"/>
        </w:rPr>
        <w:t xml:space="preserve"> still open</w:t>
      </w:r>
      <w:r w:rsidRPr="0003060E">
        <w:rPr>
          <w:rFonts w:asciiTheme="minorHAnsi" w:hAnsiTheme="minorHAnsi" w:cstheme="minorHAnsi"/>
          <w:color w:val="000000"/>
          <w:lang w:val="en-US"/>
        </w:rPr>
        <w:t xml:space="preserve"> question could depend on </w:t>
      </w:r>
      <w:r w:rsidRPr="0003060E">
        <w:rPr>
          <w:rFonts w:asciiTheme="minorHAnsi" w:hAnsiTheme="minorHAnsi" w:cstheme="minorHAnsi"/>
          <w:i/>
          <w:iCs/>
          <w:color w:val="000000"/>
          <w:lang w:val="en-US"/>
        </w:rPr>
        <w:t>how widespread</w:t>
      </w:r>
      <w:r w:rsidRPr="0003060E">
        <w:rPr>
          <w:rFonts w:asciiTheme="minorHAnsi" w:hAnsiTheme="minorHAnsi" w:cstheme="minorHAnsi"/>
          <w:color w:val="000000"/>
          <w:lang w:val="en-US"/>
        </w:rPr>
        <w:t xml:space="preserve"> a commercial mediation process is in the relevant state. If </w:t>
      </w:r>
      <w:r w:rsidR="00556860" w:rsidRPr="0003060E">
        <w:rPr>
          <w:rFonts w:asciiTheme="minorHAnsi" w:hAnsiTheme="minorHAnsi" w:cstheme="minorHAnsi"/>
          <w:color w:val="000000"/>
          <w:lang w:val="en-US"/>
        </w:rPr>
        <w:t xml:space="preserve">already extensive, there should be less value in courts retaining scope to review the arbitrators’ decisions on whether mediation was correctly carried out. If not extensive, however, court supervision may be more justified. This assessment may also then evolve over time: a state may begin with an approach that sees the mediation step compliance as going to arbitral jurisdiction at </w:t>
      </w:r>
      <w:proofErr w:type="gramStart"/>
      <w:r w:rsidR="00556860" w:rsidRPr="0003060E">
        <w:rPr>
          <w:rFonts w:asciiTheme="minorHAnsi" w:hAnsiTheme="minorHAnsi" w:cstheme="minorHAnsi"/>
          <w:color w:val="000000"/>
          <w:lang w:val="en-US"/>
        </w:rPr>
        <w:t>first</w:t>
      </w:r>
      <w:r w:rsidR="005A19DB" w:rsidRPr="0003060E">
        <w:rPr>
          <w:rFonts w:asciiTheme="minorHAnsi" w:hAnsiTheme="minorHAnsi" w:cstheme="minorHAnsi"/>
          <w:color w:val="000000"/>
          <w:lang w:val="en-US"/>
        </w:rPr>
        <w:t>, but</w:t>
      </w:r>
      <w:proofErr w:type="gramEnd"/>
      <w:r w:rsidR="005A19DB" w:rsidRPr="0003060E">
        <w:rPr>
          <w:rFonts w:asciiTheme="minorHAnsi" w:hAnsiTheme="minorHAnsi" w:cstheme="minorHAnsi"/>
          <w:color w:val="000000"/>
          <w:lang w:val="en-US"/>
        </w:rPr>
        <w:t xml:space="preserve"> </w:t>
      </w:r>
      <w:r w:rsidR="00556860" w:rsidRPr="0003060E">
        <w:rPr>
          <w:rFonts w:asciiTheme="minorHAnsi" w:hAnsiTheme="minorHAnsi" w:cstheme="minorHAnsi"/>
          <w:color w:val="000000"/>
          <w:lang w:val="en-US"/>
        </w:rPr>
        <w:t xml:space="preserve">switch to the admissibility approach as commercial mediation becomes more widely practiced and </w:t>
      </w:r>
      <w:r w:rsidR="00556860" w:rsidRPr="0003060E">
        <w:rPr>
          <w:rFonts w:asciiTheme="minorHAnsi" w:hAnsiTheme="minorHAnsi" w:cstheme="minorHAnsi"/>
          <w:color w:val="000000"/>
          <w:lang w:val="en-US"/>
        </w:rPr>
        <w:lastRenderedPageBreak/>
        <w:t xml:space="preserve">understood by parties, counsel and mediators. Such a progression may be particularly useful for countries still lagging in using </w:t>
      </w:r>
      <w:proofErr w:type="gramStart"/>
      <w:r w:rsidR="00556860" w:rsidRPr="0003060E">
        <w:rPr>
          <w:rFonts w:asciiTheme="minorHAnsi" w:hAnsiTheme="minorHAnsi" w:cstheme="minorHAnsi"/>
          <w:color w:val="000000"/>
          <w:lang w:val="en-US"/>
        </w:rPr>
        <w:t>commercially-supplied</w:t>
      </w:r>
      <w:proofErr w:type="gramEnd"/>
      <w:r w:rsidR="00556860" w:rsidRPr="0003060E">
        <w:rPr>
          <w:rFonts w:asciiTheme="minorHAnsi" w:hAnsiTheme="minorHAnsi" w:cstheme="minorHAnsi"/>
          <w:color w:val="000000"/>
          <w:lang w:val="en-US"/>
        </w:rPr>
        <w:t xml:space="preserve"> mediation services (such as Japan, Korea or India), compared to those where they are already widespread (like Singapore, Hong Kong and Australia).</w:t>
      </w:r>
    </w:p>
    <w:p w14:paraId="26DBFBDF" w14:textId="576D2C0E" w:rsidR="00083A66" w:rsidRPr="0003060E" w:rsidRDefault="005A19DB" w:rsidP="00E76D41">
      <w:pPr>
        <w:spacing w:before="120"/>
        <w:jc w:val="both"/>
        <w:rPr>
          <w:rFonts w:asciiTheme="minorHAnsi" w:hAnsiTheme="minorHAnsi" w:cstheme="minorHAnsi"/>
          <w:color w:val="000000"/>
          <w:lang w:val="en-US"/>
        </w:rPr>
      </w:pPr>
      <w:r w:rsidRPr="0003060E">
        <w:rPr>
          <w:rFonts w:asciiTheme="minorHAnsi" w:hAnsiTheme="minorHAnsi" w:cstheme="minorHAnsi"/>
          <w:color w:val="000000"/>
          <w:lang w:val="en-US"/>
        </w:rPr>
        <w:t>Concluding with a point made early in this Part</w:t>
      </w:r>
      <w:r w:rsidR="00556860" w:rsidRPr="0003060E">
        <w:rPr>
          <w:rFonts w:asciiTheme="minorHAnsi" w:hAnsiTheme="minorHAnsi" w:cstheme="minorHAnsi"/>
          <w:color w:val="000000"/>
          <w:lang w:val="en-US"/>
        </w:rPr>
        <w:t xml:space="preserve">, it is worth noting that this question of “admissibility vs jurisdiction” in ICA recently is impacted not only by private international law, but also some </w:t>
      </w:r>
      <w:proofErr w:type="spellStart"/>
      <w:r w:rsidR="00556860" w:rsidRPr="0003060E">
        <w:rPr>
          <w:rFonts w:asciiTheme="minorHAnsi" w:hAnsiTheme="minorHAnsi" w:cstheme="minorHAnsi"/>
          <w:color w:val="000000"/>
          <w:lang w:val="en-US"/>
        </w:rPr>
        <w:t>cross-fertilisation</w:t>
      </w:r>
      <w:proofErr w:type="spellEnd"/>
      <w:r w:rsidR="00556860" w:rsidRPr="0003060E">
        <w:rPr>
          <w:rFonts w:asciiTheme="minorHAnsi" w:hAnsiTheme="minorHAnsi" w:cstheme="minorHAnsi"/>
          <w:color w:val="000000"/>
          <w:lang w:val="en-US"/>
        </w:rPr>
        <w:t xml:space="preserve"> through developments and discussions in ISA – in turn influenced by public international law</w:t>
      </w:r>
      <w:r w:rsidR="00524BE9" w:rsidRPr="0003060E">
        <w:rPr>
          <w:rFonts w:asciiTheme="minorHAnsi" w:hAnsiTheme="minorHAnsi" w:cstheme="minorHAnsi"/>
          <w:color w:val="000000"/>
          <w:lang w:val="en-US"/>
        </w:rPr>
        <w:t xml:space="preserve"> discussions and developments</w:t>
      </w:r>
      <w:r w:rsidR="00556860" w:rsidRPr="0003060E">
        <w:rPr>
          <w:rFonts w:asciiTheme="minorHAnsi" w:hAnsiTheme="minorHAnsi" w:cstheme="minorHAnsi"/>
          <w:color w:val="000000"/>
          <w:lang w:val="en-US"/>
        </w:rPr>
        <w:t xml:space="preserve">. Quite a few ISA awards and </w:t>
      </w:r>
      <w:r w:rsidR="008E15E7" w:rsidRPr="0003060E">
        <w:rPr>
          <w:rFonts w:asciiTheme="minorHAnsi" w:hAnsiTheme="minorHAnsi" w:cstheme="minorHAnsi"/>
          <w:color w:val="000000"/>
          <w:lang w:val="en-US"/>
        </w:rPr>
        <w:t>related secondary literature</w:t>
      </w:r>
      <w:r w:rsidR="00556860" w:rsidRPr="0003060E">
        <w:rPr>
          <w:rFonts w:asciiTheme="minorHAnsi" w:hAnsiTheme="minorHAnsi" w:cstheme="minorHAnsi"/>
          <w:color w:val="000000"/>
          <w:lang w:val="en-US"/>
        </w:rPr>
        <w:t xml:space="preserve"> have grappled with the question of whether investment treaty obligations on disputing parties </w:t>
      </w:r>
      <w:r w:rsidR="008E15E7" w:rsidRPr="0003060E">
        <w:rPr>
          <w:rFonts w:asciiTheme="minorHAnsi" w:hAnsiTheme="minorHAnsi" w:cstheme="minorHAnsi"/>
          <w:color w:val="000000"/>
          <w:lang w:val="en-US"/>
        </w:rPr>
        <w:t xml:space="preserve">requiring first to pause and/or </w:t>
      </w:r>
      <w:r w:rsidR="00556860" w:rsidRPr="0003060E">
        <w:rPr>
          <w:rFonts w:asciiTheme="minorHAnsi" w:hAnsiTheme="minorHAnsi" w:cstheme="minorHAnsi"/>
          <w:color w:val="000000"/>
          <w:lang w:val="en-US"/>
        </w:rPr>
        <w:t xml:space="preserve">negotiate </w:t>
      </w:r>
      <w:r w:rsidR="008E15E7" w:rsidRPr="0003060E">
        <w:rPr>
          <w:rFonts w:asciiTheme="minorHAnsi" w:hAnsiTheme="minorHAnsi" w:cstheme="minorHAnsi"/>
          <w:color w:val="000000"/>
          <w:lang w:val="en-US"/>
        </w:rPr>
        <w:t>in good faith</w:t>
      </w:r>
      <w:r w:rsidR="00556860" w:rsidRPr="0003060E">
        <w:rPr>
          <w:rFonts w:asciiTheme="minorHAnsi" w:hAnsiTheme="minorHAnsi" w:cstheme="minorHAnsi"/>
          <w:color w:val="000000"/>
          <w:lang w:val="en-US"/>
        </w:rPr>
        <w:t xml:space="preserve"> go to admissibility or jurisdiction.</w:t>
      </w:r>
      <w:r w:rsidR="00083A66" w:rsidRPr="0003060E">
        <w:rPr>
          <w:rFonts w:asciiTheme="minorHAnsi" w:hAnsiTheme="minorHAnsi" w:cstheme="minorHAnsi"/>
          <w:color w:val="000000"/>
          <w:lang w:val="en-US"/>
        </w:rPr>
        <w:t xml:space="preserve"> </w:t>
      </w:r>
      <w:r w:rsidR="008E15E7" w:rsidRPr="0003060E">
        <w:rPr>
          <w:rFonts w:asciiTheme="minorHAnsi" w:hAnsiTheme="minorHAnsi" w:cstheme="minorHAnsi"/>
          <w:color w:val="000000"/>
          <w:lang w:val="en-US"/>
        </w:rPr>
        <w:t>Some l</w:t>
      </w:r>
      <w:r w:rsidR="00083A66" w:rsidRPr="0003060E">
        <w:rPr>
          <w:rFonts w:asciiTheme="minorHAnsi" w:hAnsiTheme="minorHAnsi" w:cstheme="minorHAnsi"/>
          <w:color w:val="000000"/>
          <w:lang w:val="en-US"/>
        </w:rPr>
        <w:t>eading commentators observe, for example, that</w:t>
      </w:r>
      <w:r w:rsidR="008E15E7" w:rsidRPr="0003060E">
        <w:rPr>
          <w:rFonts w:asciiTheme="minorHAnsi" w:hAnsiTheme="minorHAnsi" w:cstheme="minorHAnsi"/>
          <w:color w:val="000000"/>
          <w:lang w:val="en-US"/>
        </w:rPr>
        <w:t>:</w:t>
      </w:r>
      <w:r w:rsidR="008E15E7" w:rsidRPr="0003060E">
        <w:rPr>
          <w:rStyle w:val="FootnoteReference"/>
          <w:rFonts w:asciiTheme="minorHAnsi" w:hAnsiTheme="minorHAnsi" w:cstheme="minorHAnsi"/>
          <w:color w:val="000000"/>
          <w:lang w:val="en-US"/>
        </w:rPr>
        <w:footnoteReference w:id="138"/>
      </w:r>
    </w:p>
    <w:p w14:paraId="064AC9FC" w14:textId="145CBE39" w:rsidR="00083A66" w:rsidRPr="0003060E" w:rsidRDefault="008E15E7" w:rsidP="00E76D41">
      <w:pPr>
        <w:autoSpaceDE w:val="0"/>
        <w:autoSpaceDN w:val="0"/>
        <w:adjustRightInd w:val="0"/>
        <w:spacing w:before="120"/>
        <w:ind w:left="720"/>
        <w:jc w:val="both"/>
        <w:rPr>
          <w:rFonts w:asciiTheme="minorHAnsi" w:eastAsia="MinionPro-Regular" w:hAnsiTheme="minorHAnsi" w:cstheme="minorHAnsi"/>
        </w:rPr>
      </w:pPr>
      <w:r w:rsidRPr="0003060E">
        <w:rPr>
          <w:rFonts w:asciiTheme="minorHAnsi" w:eastAsia="MinionPro-Regular" w:hAnsiTheme="minorHAnsi" w:cstheme="minorHAnsi"/>
        </w:rPr>
        <w:t>“</w:t>
      </w:r>
      <w:r w:rsidR="00083A66" w:rsidRPr="0003060E">
        <w:rPr>
          <w:rFonts w:asciiTheme="minorHAnsi" w:eastAsia="MinionPro-Regular" w:hAnsiTheme="minorHAnsi" w:cstheme="minorHAnsi"/>
        </w:rPr>
        <w:t xml:space="preserve">The reaction of tribunals to [investment treaty] provisions requiring an attempt at </w:t>
      </w:r>
      <w:r w:rsidRPr="0003060E">
        <w:rPr>
          <w:rFonts w:asciiTheme="minorHAnsi" w:eastAsia="MinionPro-Regular" w:hAnsiTheme="minorHAnsi" w:cstheme="minorHAnsi"/>
        </w:rPr>
        <w:t xml:space="preserve">  </w:t>
      </w:r>
      <w:r w:rsidR="00083A66" w:rsidRPr="0003060E">
        <w:rPr>
          <w:rFonts w:asciiTheme="minorHAnsi" w:eastAsia="MinionPro-Regular" w:hAnsiTheme="minorHAnsi" w:cstheme="minorHAnsi"/>
        </w:rPr>
        <w:t>amicable</w:t>
      </w:r>
      <w:r w:rsidRPr="0003060E">
        <w:rPr>
          <w:rFonts w:asciiTheme="minorHAnsi" w:eastAsia="MinionPro-Regular" w:hAnsiTheme="minorHAnsi" w:cstheme="minorHAnsi"/>
        </w:rPr>
        <w:t xml:space="preserve"> </w:t>
      </w:r>
      <w:r w:rsidR="00083A66" w:rsidRPr="0003060E">
        <w:rPr>
          <w:rFonts w:asciiTheme="minorHAnsi" w:eastAsia="MinionPro-Regular" w:hAnsiTheme="minorHAnsi" w:cstheme="minorHAnsi"/>
        </w:rPr>
        <w:t xml:space="preserve">settlement before the institution of arbitration has not been uniform. In </w:t>
      </w:r>
      <w:proofErr w:type="gramStart"/>
      <w:r w:rsidR="00083A66" w:rsidRPr="0003060E">
        <w:rPr>
          <w:rFonts w:asciiTheme="minorHAnsi" w:eastAsia="MinionPro-Regular" w:hAnsiTheme="minorHAnsi" w:cstheme="minorHAnsi"/>
        </w:rPr>
        <w:t>the majority of</w:t>
      </w:r>
      <w:proofErr w:type="gramEnd"/>
      <w:r w:rsidR="00083A66" w:rsidRPr="0003060E">
        <w:rPr>
          <w:rFonts w:asciiTheme="minorHAnsi" w:eastAsia="MinionPro-Regular" w:hAnsiTheme="minorHAnsi" w:cstheme="minorHAnsi"/>
        </w:rPr>
        <w:t xml:space="preserve"> cases, the tribunals found that the claimants had complied with these waiting periods before proceeding to arbitration. </w:t>
      </w:r>
    </w:p>
    <w:p w14:paraId="29766466" w14:textId="24E10CE9" w:rsidR="00083A66" w:rsidRPr="0003060E" w:rsidRDefault="00083A66" w:rsidP="002C16B8">
      <w:pPr>
        <w:autoSpaceDE w:val="0"/>
        <w:autoSpaceDN w:val="0"/>
        <w:adjustRightInd w:val="0"/>
        <w:spacing w:before="120"/>
        <w:ind w:left="720" w:firstLine="720"/>
        <w:jc w:val="both"/>
        <w:rPr>
          <w:rFonts w:asciiTheme="minorHAnsi" w:eastAsia="MinionPro-Regular" w:hAnsiTheme="minorHAnsi" w:cstheme="minorHAnsi"/>
        </w:rPr>
      </w:pPr>
      <w:r w:rsidRPr="0003060E">
        <w:rPr>
          <w:rFonts w:asciiTheme="minorHAnsi" w:eastAsia="MinionPro-Regular" w:hAnsiTheme="minorHAnsi" w:cstheme="minorHAnsi"/>
        </w:rPr>
        <w:t>In other cases, the tribunals found that non- compliance with the waiting periods</w:t>
      </w:r>
      <w:r w:rsidR="002C16B8" w:rsidRPr="0003060E">
        <w:rPr>
          <w:rFonts w:asciiTheme="minorHAnsi" w:eastAsia="MinionPro-Regular" w:hAnsiTheme="minorHAnsi" w:cstheme="minorHAnsi"/>
        </w:rPr>
        <w:t xml:space="preserve"> </w:t>
      </w:r>
      <w:r w:rsidRPr="0003060E">
        <w:rPr>
          <w:rFonts w:asciiTheme="minorHAnsi" w:eastAsia="MinionPro-Regular" w:hAnsiTheme="minorHAnsi" w:cstheme="minorHAnsi"/>
        </w:rPr>
        <w:t>did not affect their jurisdiction. Some tribunals found that the non- observance of the waiting period was inconsequential since further negotiations would have been pointless. Some tribunals found that waiting periods for amicable settlement were merely procedural and not a condition for jurisdiction. …</w:t>
      </w:r>
    </w:p>
    <w:p w14:paraId="1CF565BE" w14:textId="3765012D" w:rsidR="00083A66" w:rsidRPr="0003060E" w:rsidRDefault="00083A66" w:rsidP="002C16B8">
      <w:pPr>
        <w:autoSpaceDE w:val="0"/>
        <w:autoSpaceDN w:val="0"/>
        <w:adjustRightInd w:val="0"/>
        <w:spacing w:before="120"/>
        <w:ind w:left="720"/>
        <w:jc w:val="both"/>
        <w:rPr>
          <w:rFonts w:asciiTheme="minorHAnsi" w:eastAsia="MinionPro-Regular" w:hAnsiTheme="minorHAnsi" w:cstheme="minorHAnsi"/>
        </w:rPr>
      </w:pPr>
      <w:r w:rsidRPr="0003060E">
        <w:rPr>
          <w:rFonts w:asciiTheme="minorHAnsi" w:eastAsia="MinionPro-Regular" w:hAnsiTheme="minorHAnsi" w:cstheme="minorHAnsi"/>
        </w:rPr>
        <w:tab/>
        <w:t>Some tribunals have found that waiting periods need not necessarily be complied</w:t>
      </w:r>
      <w:r w:rsidR="002C16B8" w:rsidRPr="0003060E">
        <w:rPr>
          <w:rFonts w:asciiTheme="minorHAnsi" w:eastAsia="MinionPro-Regular" w:hAnsiTheme="minorHAnsi" w:cstheme="minorHAnsi"/>
        </w:rPr>
        <w:t xml:space="preserve"> </w:t>
      </w:r>
      <w:r w:rsidRPr="0003060E">
        <w:rPr>
          <w:rFonts w:asciiTheme="minorHAnsi" w:eastAsia="MinionPro-Regular" w:hAnsiTheme="minorHAnsi" w:cstheme="minorHAnsi"/>
        </w:rPr>
        <w:t xml:space="preserve">with prior to initiating proceedings but can be fulfilled before the tribunal </w:t>
      </w:r>
      <w:proofErr w:type="gramStart"/>
      <w:r w:rsidRPr="0003060E">
        <w:rPr>
          <w:rFonts w:asciiTheme="minorHAnsi" w:eastAsia="MinionPro-Regular" w:hAnsiTheme="minorHAnsi" w:cstheme="minorHAnsi"/>
        </w:rPr>
        <w:t>makes a</w:t>
      </w:r>
      <w:r w:rsidR="002C16B8" w:rsidRPr="0003060E">
        <w:rPr>
          <w:rFonts w:asciiTheme="minorHAnsi" w:eastAsia="MinionPro-Regular" w:hAnsiTheme="minorHAnsi" w:cstheme="minorHAnsi"/>
        </w:rPr>
        <w:t xml:space="preserve"> </w:t>
      </w:r>
      <w:r w:rsidRPr="0003060E">
        <w:rPr>
          <w:rFonts w:asciiTheme="minorHAnsi" w:eastAsia="MinionPro-Regular" w:hAnsiTheme="minorHAnsi" w:cstheme="minorHAnsi"/>
        </w:rPr>
        <w:t>decision</w:t>
      </w:r>
      <w:proofErr w:type="gramEnd"/>
      <w:r w:rsidRPr="0003060E">
        <w:rPr>
          <w:rFonts w:asciiTheme="minorHAnsi" w:eastAsia="MinionPro-Regular" w:hAnsiTheme="minorHAnsi" w:cstheme="minorHAnsi"/>
        </w:rPr>
        <w:t xml:space="preserve"> on its jurisdiction.</w:t>
      </w:r>
    </w:p>
    <w:p w14:paraId="2FA37EC9" w14:textId="0BAD4025" w:rsidR="00083A66" w:rsidRPr="0003060E" w:rsidRDefault="00083A66" w:rsidP="00E76D41">
      <w:pPr>
        <w:spacing w:before="120"/>
        <w:ind w:left="720" w:firstLine="720"/>
        <w:jc w:val="both"/>
        <w:rPr>
          <w:rFonts w:asciiTheme="minorHAnsi" w:eastAsia="MinionPro-Regular" w:hAnsiTheme="minorHAnsi" w:cstheme="minorHAnsi"/>
        </w:rPr>
      </w:pPr>
      <w:r w:rsidRPr="0003060E">
        <w:rPr>
          <w:rFonts w:asciiTheme="minorHAnsi" w:eastAsia="MinionPro-Regular" w:hAnsiTheme="minorHAnsi" w:cstheme="minorHAnsi"/>
        </w:rPr>
        <w:t>Other tribunals have reached a different conclusion [by deciding the arbitration filing was premature].</w:t>
      </w:r>
      <w:r w:rsidR="008E15E7" w:rsidRPr="0003060E">
        <w:rPr>
          <w:rFonts w:asciiTheme="minorHAnsi" w:eastAsia="MinionPro-Regular" w:hAnsiTheme="minorHAnsi" w:cstheme="minorHAnsi"/>
        </w:rPr>
        <w:t xml:space="preserve"> …”</w:t>
      </w:r>
      <w:r w:rsidRPr="0003060E">
        <w:rPr>
          <w:rFonts w:asciiTheme="minorHAnsi" w:eastAsia="MinionPro-Regular" w:hAnsiTheme="minorHAnsi" w:cstheme="minorHAnsi"/>
        </w:rPr>
        <w:t xml:space="preserve"> </w:t>
      </w:r>
    </w:p>
    <w:p w14:paraId="4AB85FC4" w14:textId="30D1E6A8" w:rsidR="00083A66" w:rsidRPr="0003060E" w:rsidRDefault="008E15E7" w:rsidP="00E76D41">
      <w:pPr>
        <w:spacing w:before="120"/>
        <w:jc w:val="both"/>
        <w:rPr>
          <w:rFonts w:asciiTheme="minorHAnsi" w:eastAsia="MinionPro-Regular" w:hAnsiTheme="minorHAnsi" w:cstheme="minorHAnsi"/>
        </w:rPr>
      </w:pPr>
      <w:r w:rsidRPr="0003060E">
        <w:rPr>
          <w:rFonts w:asciiTheme="minorHAnsi" w:eastAsia="MinionPro-Regular" w:hAnsiTheme="minorHAnsi" w:cstheme="minorHAnsi"/>
        </w:rPr>
        <w:t>More normatively, these commentators suggest that:</w:t>
      </w:r>
      <w:r w:rsidRPr="0003060E">
        <w:rPr>
          <w:rStyle w:val="FootnoteReference"/>
          <w:rFonts w:asciiTheme="minorHAnsi" w:eastAsia="MinionPro-Regular" w:hAnsiTheme="minorHAnsi" w:cstheme="minorHAnsi"/>
        </w:rPr>
        <w:footnoteReference w:id="139"/>
      </w:r>
    </w:p>
    <w:p w14:paraId="3B705FC0" w14:textId="5CAAB92F" w:rsidR="008E15E7" w:rsidRPr="0003060E" w:rsidRDefault="008E15E7" w:rsidP="00E76D41">
      <w:pPr>
        <w:autoSpaceDE w:val="0"/>
        <w:autoSpaceDN w:val="0"/>
        <w:adjustRightInd w:val="0"/>
        <w:spacing w:before="120"/>
        <w:ind w:left="720"/>
        <w:jc w:val="both"/>
        <w:rPr>
          <w:rFonts w:asciiTheme="minorHAnsi" w:eastAsia="MinionPro-Regular" w:hAnsiTheme="minorHAnsi" w:cstheme="minorHAnsi"/>
        </w:rPr>
      </w:pPr>
      <w:r w:rsidRPr="0003060E">
        <w:rPr>
          <w:rFonts w:asciiTheme="minorHAnsi" w:eastAsia="MinionPro-Regular" w:hAnsiTheme="minorHAnsi" w:cstheme="minorHAnsi"/>
        </w:rPr>
        <w:t>“</w:t>
      </w:r>
      <w:proofErr w:type="gramStart"/>
      <w:r w:rsidRPr="0003060E">
        <w:rPr>
          <w:rFonts w:asciiTheme="minorHAnsi" w:eastAsia="MinionPro-Regular" w:hAnsiTheme="minorHAnsi" w:cstheme="minorHAnsi"/>
        </w:rPr>
        <w:t>the</w:t>
      </w:r>
      <w:proofErr w:type="gramEnd"/>
      <w:r w:rsidRPr="0003060E">
        <w:rPr>
          <w:rFonts w:asciiTheme="minorHAnsi" w:eastAsia="MinionPro-Regular" w:hAnsiTheme="minorHAnsi" w:cstheme="minorHAnsi"/>
        </w:rPr>
        <w:t xml:space="preserve"> decisive question is whether there was a promising opportunity for a settlement. There will be little point in declining jurisdiction and sending the parties back to the negotiating table if negotiations are obviously futile. Even if the institution of arbitration was premature, the waiting period will often have expired by the time the tribunal is ready to make its decision on jurisdiction. Under these circumstances, declining jurisdiction and compelling the claimant to start the proceedings anew would be uneconomical. An alternative way to deal with non- compliance with a waiting period is a suspension of proceedings to allow additional time for negotiations if these appear promising.”</w:t>
      </w:r>
    </w:p>
    <w:p w14:paraId="6CCC4E5B" w14:textId="0BBF08CD" w:rsidR="008E15E7" w:rsidRPr="0003060E" w:rsidRDefault="008E15E7" w:rsidP="00E76D41">
      <w:pPr>
        <w:autoSpaceDE w:val="0"/>
        <w:autoSpaceDN w:val="0"/>
        <w:adjustRightInd w:val="0"/>
        <w:spacing w:before="120"/>
        <w:jc w:val="both"/>
        <w:rPr>
          <w:rFonts w:asciiTheme="minorHAnsi" w:eastAsia="MinionPro-Regular" w:hAnsiTheme="minorHAnsi" w:cstheme="minorHAnsi"/>
        </w:rPr>
      </w:pPr>
      <w:r w:rsidRPr="0003060E">
        <w:rPr>
          <w:rFonts w:asciiTheme="minorHAnsi" w:eastAsia="MinionPro-Regular" w:hAnsiTheme="minorHAnsi" w:cstheme="minorHAnsi"/>
        </w:rPr>
        <w:t>This longstanding debate within the world of ISA also seems to be finding its way into</w:t>
      </w:r>
      <w:r w:rsidR="00F94672" w:rsidRPr="0003060E">
        <w:rPr>
          <w:rFonts w:asciiTheme="minorHAnsi" w:eastAsia="MinionPro-Regular" w:hAnsiTheme="minorHAnsi" w:cstheme="minorHAnsi"/>
        </w:rPr>
        <w:t xml:space="preserve"> and potentially influencing</w:t>
      </w:r>
      <w:r w:rsidRPr="0003060E">
        <w:rPr>
          <w:rFonts w:asciiTheme="minorHAnsi" w:eastAsia="MinionPro-Regular" w:hAnsiTheme="minorHAnsi" w:cstheme="minorHAnsi"/>
        </w:rPr>
        <w:t xml:space="preserve"> national courts.</w:t>
      </w:r>
      <w:r w:rsidRPr="0003060E">
        <w:rPr>
          <w:rFonts w:asciiTheme="minorHAnsi" w:eastAsia="MinionPro-Regular" w:hAnsiTheme="minorHAnsi" w:cstheme="minorHAnsi"/>
          <w:sz w:val="20"/>
          <w:szCs w:val="20"/>
        </w:rPr>
        <w:t xml:space="preserve"> </w:t>
      </w:r>
      <w:r w:rsidR="00556860" w:rsidRPr="0003060E">
        <w:rPr>
          <w:rFonts w:asciiTheme="minorHAnsi" w:hAnsiTheme="minorHAnsi" w:cstheme="minorHAnsi"/>
          <w:color w:val="000000"/>
          <w:lang w:val="en-US"/>
        </w:rPr>
        <w:t xml:space="preserve">Indeed, Iris Ng noted that an alternative to the “claim vs tribunal” test </w:t>
      </w:r>
      <w:r w:rsidR="0000192E" w:rsidRPr="0003060E">
        <w:rPr>
          <w:rFonts w:asciiTheme="minorHAnsi" w:hAnsiTheme="minorHAnsi" w:cstheme="minorHAnsi"/>
          <w:color w:val="000000"/>
          <w:lang w:val="en-US"/>
        </w:rPr>
        <w:t xml:space="preserve">was the “presumed party intentions” test propounded by the United States Supreme Court </w:t>
      </w:r>
      <w:r w:rsidR="0000192E" w:rsidRPr="0003060E">
        <w:rPr>
          <w:rFonts w:asciiTheme="minorHAnsi" w:hAnsiTheme="minorHAnsi" w:cstheme="minorHAnsi"/>
        </w:rPr>
        <w:t xml:space="preserve">in </w:t>
      </w:r>
      <w:hyperlink r:id="rId13" w:tgtFrame="_blank" w:history="1">
        <w:r w:rsidR="0000192E" w:rsidRPr="0003060E">
          <w:rPr>
            <w:rStyle w:val="Emphasis"/>
            <w:rFonts w:asciiTheme="minorHAnsi" w:hAnsiTheme="minorHAnsi" w:cstheme="minorHAnsi"/>
          </w:rPr>
          <w:t>BG Group Plc v Republic of Argentina</w:t>
        </w:r>
      </w:hyperlink>
      <w:r w:rsidR="0000192E" w:rsidRPr="0003060E">
        <w:rPr>
          <w:rFonts w:asciiTheme="minorHAnsi" w:hAnsiTheme="minorHAnsi" w:cstheme="minorHAnsi"/>
        </w:rPr>
        <w:t>,</w:t>
      </w:r>
      <w:r w:rsidR="0000192E" w:rsidRPr="0003060E">
        <w:rPr>
          <w:rStyle w:val="FootnoteReference"/>
          <w:rFonts w:asciiTheme="minorHAnsi" w:hAnsiTheme="minorHAnsi" w:cstheme="minorHAnsi"/>
        </w:rPr>
        <w:footnoteReference w:id="140"/>
      </w:r>
      <w:r w:rsidR="0000192E" w:rsidRPr="0003060E">
        <w:rPr>
          <w:rFonts w:asciiTheme="minorHAnsi" w:hAnsiTheme="minorHAnsi" w:cstheme="minorHAnsi"/>
        </w:rPr>
        <w:t xml:space="preserve"> although </w:t>
      </w:r>
      <w:r w:rsidR="00083A66" w:rsidRPr="0003060E">
        <w:rPr>
          <w:rFonts w:asciiTheme="minorHAnsi" w:hAnsiTheme="minorHAnsi" w:cstheme="minorHAnsi"/>
        </w:rPr>
        <w:t>Ng</w:t>
      </w:r>
      <w:r w:rsidR="0000192E" w:rsidRPr="0003060E">
        <w:rPr>
          <w:rFonts w:asciiTheme="minorHAnsi" w:hAnsiTheme="minorHAnsi" w:cstheme="minorHAnsi"/>
        </w:rPr>
        <w:t xml:space="preserve"> sides with </w:t>
      </w:r>
      <w:r w:rsidR="0000192E" w:rsidRPr="0003060E">
        <w:rPr>
          <w:rFonts w:asciiTheme="minorHAnsi" w:hAnsiTheme="minorHAnsi" w:cstheme="minorHAnsi"/>
        </w:rPr>
        <w:lastRenderedPageBreak/>
        <w:t>commentary suggesting that the alternative test is not so helpful</w:t>
      </w:r>
      <w:r w:rsidR="00F94672" w:rsidRPr="0003060E">
        <w:rPr>
          <w:rFonts w:asciiTheme="minorHAnsi" w:hAnsiTheme="minorHAnsi" w:cstheme="minorHAnsi"/>
        </w:rPr>
        <w:t xml:space="preserve"> when transposed into the field of time bars.</w:t>
      </w:r>
    </w:p>
    <w:p w14:paraId="18C1A1E9" w14:textId="3DA4C0D9" w:rsidR="008E15E7" w:rsidRPr="0003060E" w:rsidRDefault="0000192E" w:rsidP="00E76D41">
      <w:pPr>
        <w:autoSpaceDE w:val="0"/>
        <w:autoSpaceDN w:val="0"/>
        <w:adjustRightInd w:val="0"/>
        <w:spacing w:before="120"/>
        <w:jc w:val="both"/>
        <w:rPr>
          <w:rFonts w:asciiTheme="minorHAnsi" w:hAnsiTheme="minorHAnsi" w:cstheme="minorHAnsi"/>
        </w:rPr>
      </w:pPr>
      <w:r w:rsidRPr="0003060E">
        <w:rPr>
          <w:rFonts w:asciiTheme="minorHAnsi" w:hAnsiTheme="minorHAnsi" w:cstheme="minorHAnsi"/>
        </w:rPr>
        <w:t xml:space="preserve">More broadly in ISA, for example, the distinction between admissibility and jurisdiction is currently being explored to find more nuanced solutions </w:t>
      </w:r>
      <w:r w:rsidR="00524BE9" w:rsidRPr="0003060E">
        <w:rPr>
          <w:rFonts w:asciiTheme="minorHAnsi" w:hAnsiTheme="minorHAnsi" w:cstheme="minorHAnsi"/>
        </w:rPr>
        <w:t>in another context. Th</w:t>
      </w:r>
      <w:r w:rsidR="00F94672" w:rsidRPr="0003060E">
        <w:rPr>
          <w:rFonts w:asciiTheme="minorHAnsi" w:hAnsiTheme="minorHAnsi" w:cstheme="minorHAnsi"/>
        </w:rPr>
        <w:t>at</w:t>
      </w:r>
      <w:r w:rsidR="00524BE9" w:rsidRPr="0003060E">
        <w:rPr>
          <w:rFonts w:asciiTheme="minorHAnsi" w:hAnsiTheme="minorHAnsi" w:cstheme="minorHAnsi"/>
        </w:rPr>
        <w:t xml:space="preserve"> problem is how best </w:t>
      </w:r>
      <w:r w:rsidRPr="0003060E">
        <w:rPr>
          <w:rFonts w:asciiTheme="minorHAnsi" w:hAnsiTheme="minorHAnsi" w:cstheme="minorHAnsi"/>
        </w:rPr>
        <w:t>to deal with situations where a foreign investor’s ISDS claim against a host state was procured by acceding to a request for bribes from officials in a host state, which nonetheless asserts a complete defence to substantive treaty claims due to lack of jurisdiction under the treaty.</w:t>
      </w:r>
      <w:r w:rsidRPr="0003060E">
        <w:rPr>
          <w:rStyle w:val="FootnoteReference"/>
          <w:rFonts w:asciiTheme="minorHAnsi" w:hAnsiTheme="minorHAnsi" w:cstheme="minorHAnsi"/>
        </w:rPr>
        <w:footnoteReference w:id="141"/>
      </w:r>
      <w:r w:rsidRPr="0003060E">
        <w:rPr>
          <w:rFonts w:asciiTheme="minorHAnsi" w:hAnsiTheme="minorHAnsi" w:cstheme="minorHAnsi"/>
        </w:rPr>
        <w:t xml:space="preserve"> </w:t>
      </w:r>
      <w:r w:rsidR="00524BE9" w:rsidRPr="0003060E">
        <w:rPr>
          <w:rFonts w:asciiTheme="minorHAnsi" w:hAnsiTheme="minorHAnsi" w:cstheme="minorHAnsi"/>
        </w:rPr>
        <w:t>Developments</w:t>
      </w:r>
      <w:r w:rsidR="008E15E7" w:rsidRPr="0003060E">
        <w:rPr>
          <w:rFonts w:asciiTheme="minorHAnsi" w:hAnsiTheme="minorHAnsi" w:cstheme="minorHAnsi"/>
        </w:rPr>
        <w:t xml:space="preserve"> regarding this question</w:t>
      </w:r>
      <w:r w:rsidR="00524BE9" w:rsidRPr="0003060E">
        <w:rPr>
          <w:rFonts w:asciiTheme="minorHAnsi" w:hAnsiTheme="minorHAnsi" w:cstheme="minorHAnsi"/>
        </w:rPr>
        <w:t xml:space="preserve"> may also </w:t>
      </w:r>
      <w:r w:rsidR="008E15E7" w:rsidRPr="0003060E">
        <w:rPr>
          <w:rFonts w:asciiTheme="minorHAnsi" w:hAnsiTheme="minorHAnsi" w:cstheme="minorHAnsi"/>
        </w:rPr>
        <w:t>end up</w:t>
      </w:r>
      <w:r w:rsidR="00524BE9" w:rsidRPr="0003060E">
        <w:rPr>
          <w:rFonts w:asciiTheme="minorHAnsi" w:hAnsiTheme="minorHAnsi" w:cstheme="minorHAnsi"/>
        </w:rPr>
        <w:t xml:space="preserve"> provide productive cross-fertilisation from ISA into ICA</w:t>
      </w:r>
      <w:r w:rsidR="008E15E7" w:rsidRPr="0003060E">
        <w:rPr>
          <w:rFonts w:asciiTheme="minorHAnsi" w:hAnsiTheme="minorHAnsi" w:cstheme="minorHAnsi"/>
        </w:rPr>
        <w:t>,</w:t>
      </w:r>
      <w:r w:rsidR="00524BE9" w:rsidRPr="0003060E">
        <w:rPr>
          <w:rFonts w:asciiTheme="minorHAnsi" w:hAnsiTheme="minorHAnsi" w:cstheme="minorHAnsi"/>
        </w:rPr>
        <w:t xml:space="preserve"> as courts and tribunals increasingly grapple with the implications of </w:t>
      </w:r>
      <w:r w:rsidR="00913042" w:rsidRPr="0003060E">
        <w:rPr>
          <w:rFonts w:asciiTheme="minorHAnsi" w:hAnsiTheme="minorHAnsi" w:cstheme="minorHAnsi"/>
        </w:rPr>
        <w:t xml:space="preserve">burgeoning </w:t>
      </w:r>
      <w:r w:rsidR="00524BE9" w:rsidRPr="0003060E">
        <w:rPr>
          <w:rFonts w:asciiTheme="minorHAnsi" w:hAnsiTheme="minorHAnsi" w:cstheme="minorHAnsi"/>
        </w:rPr>
        <w:t>multi-tiered dispute resolution clauses.</w:t>
      </w:r>
    </w:p>
    <w:p w14:paraId="2E763438" w14:textId="3C8D6DFF" w:rsidR="0000192E" w:rsidRPr="0003060E" w:rsidRDefault="0000192E" w:rsidP="00E76D41">
      <w:pPr>
        <w:spacing w:before="120"/>
        <w:jc w:val="both"/>
        <w:rPr>
          <w:rFonts w:asciiTheme="minorHAnsi" w:hAnsiTheme="minorHAnsi" w:cstheme="minorHAnsi"/>
          <w:b/>
          <w:bCs/>
          <w:color w:val="000000"/>
        </w:rPr>
      </w:pPr>
      <w:r w:rsidRPr="0003060E">
        <w:rPr>
          <w:rFonts w:asciiTheme="minorHAnsi" w:hAnsiTheme="minorHAnsi" w:cstheme="minorHAnsi"/>
          <w:b/>
          <w:bCs/>
          <w:color w:val="000000"/>
        </w:rPr>
        <w:t>6. Conclusions: Good, Bad or Ugly?</w:t>
      </w:r>
    </w:p>
    <w:p w14:paraId="52694D1F" w14:textId="4524D79E" w:rsidR="00C45B81" w:rsidRPr="0003060E" w:rsidRDefault="00524BE9" w:rsidP="00E76D41">
      <w:pPr>
        <w:spacing w:before="120"/>
        <w:jc w:val="both"/>
        <w:rPr>
          <w:rFonts w:asciiTheme="minorHAnsi" w:hAnsiTheme="minorHAnsi" w:cstheme="minorHAnsi"/>
          <w:color w:val="000000"/>
        </w:rPr>
      </w:pPr>
      <w:r w:rsidRPr="0003060E">
        <w:rPr>
          <w:rFonts w:asciiTheme="minorHAnsi" w:hAnsiTheme="minorHAnsi" w:cstheme="minorHAnsi"/>
          <w:color w:val="000000"/>
        </w:rPr>
        <w:t>We live in a complex world. IA has been a great success story, spreading worldwide and underpinning burgeoning cross-border trade and investment</w:t>
      </w:r>
      <w:r w:rsidR="00C45B81" w:rsidRPr="0003060E">
        <w:rPr>
          <w:rFonts w:asciiTheme="minorHAnsi" w:hAnsiTheme="minorHAnsi" w:cstheme="minorHAnsi"/>
          <w:color w:val="000000"/>
        </w:rPr>
        <w:t>. Yet</w:t>
      </w:r>
      <w:r w:rsidRPr="0003060E">
        <w:rPr>
          <w:rFonts w:asciiTheme="minorHAnsi" w:hAnsiTheme="minorHAnsi" w:cstheme="minorHAnsi"/>
          <w:color w:val="000000"/>
        </w:rPr>
        <w:t xml:space="preserve"> it is struggling again with growing delays and especially costs</w:t>
      </w:r>
      <w:r w:rsidR="00F91971" w:rsidRPr="0003060E">
        <w:rPr>
          <w:rFonts w:asciiTheme="minorHAnsi" w:hAnsiTheme="minorHAnsi" w:cstheme="minorHAnsi"/>
          <w:color w:val="000000"/>
        </w:rPr>
        <w:t>. This</w:t>
      </w:r>
      <w:r w:rsidR="00C45B81" w:rsidRPr="0003060E">
        <w:rPr>
          <w:rFonts w:asciiTheme="minorHAnsi" w:hAnsiTheme="minorHAnsi" w:cstheme="minorHAnsi"/>
          <w:color w:val="000000"/>
        </w:rPr>
        <w:t xml:space="preserve"> undermine its legitimacy as IA has features that detract somewhat from rule of law values (like </w:t>
      </w:r>
      <w:r w:rsidR="00762159" w:rsidRPr="0003060E">
        <w:rPr>
          <w:rFonts w:asciiTheme="minorHAnsi" w:hAnsiTheme="minorHAnsi" w:cstheme="minorHAnsi"/>
          <w:color w:val="000000"/>
        </w:rPr>
        <w:t>predictable application of law to facts</w:t>
      </w:r>
      <w:r w:rsidR="00C45B81" w:rsidRPr="0003060E">
        <w:rPr>
          <w:rFonts w:asciiTheme="minorHAnsi" w:hAnsiTheme="minorHAnsi" w:cstheme="minorHAnsi"/>
          <w:color w:val="000000"/>
        </w:rPr>
        <w:t>)</w:t>
      </w:r>
      <w:r w:rsidRPr="0003060E">
        <w:rPr>
          <w:rFonts w:asciiTheme="minorHAnsi" w:hAnsiTheme="minorHAnsi" w:cstheme="minorHAnsi"/>
          <w:color w:val="000000"/>
        </w:rPr>
        <w:t>.</w:t>
      </w:r>
      <w:r w:rsidR="00C45B81" w:rsidRPr="0003060E">
        <w:rPr>
          <w:rStyle w:val="FootnoteReference"/>
          <w:rFonts w:asciiTheme="minorHAnsi" w:hAnsiTheme="minorHAnsi" w:cstheme="minorHAnsi"/>
          <w:color w:val="000000"/>
        </w:rPr>
        <w:footnoteReference w:id="142"/>
      </w:r>
      <w:r w:rsidR="00C45B81" w:rsidRPr="0003060E">
        <w:rPr>
          <w:rFonts w:asciiTheme="minorHAnsi" w:hAnsiTheme="minorHAnsi" w:cstheme="minorHAnsi"/>
          <w:color w:val="000000"/>
        </w:rPr>
        <w:t xml:space="preserve"> Some backlash against ISA generally may</w:t>
      </w:r>
      <w:r w:rsidR="00F91971" w:rsidRPr="0003060E">
        <w:rPr>
          <w:rFonts w:asciiTheme="minorHAnsi" w:hAnsiTheme="minorHAnsi" w:cstheme="minorHAnsi"/>
          <w:color w:val="000000"/>
        </w:rPr>
        <w:t xml:space="preserve"> also</w:t>
      </w:r>
      <w:r w:rsidR="00C45B81" w:rsidRPr="0003060E">
        <w:rPr>
          <w:rFonts w:asciiTheme="minorHAnsi" w:hAnsiTheme="minorHAnsi" w:cstheme="minorHAnsi"/>
          <w:color w:val="000000"/>
        </w:rPr>
        <w:t xml:space="preserve"> be spreading to at least some forms of ICA.</w:t>
      </w:r>
      <w:r w:rsidR="00B17576" w:rsidRPr="0003060E">
        <w:rPr>
          <w:rStyle w:val="FootnoteReference"/>
          <w:rFonts w:asciiTheme="minorHAnsi" w:hAnsiTheme="minorHAnsi" w:cstheme="minorHAnsi"/>
          <w:color w:val="000000"/>
        </w:rPr>
        <w:footnoteReference w:id="143"/>
      </w:r>
      <w:r w:rsidR="00C45B81" w:rsidRPr="0003060E">
        <w:rPr>
          <w:rFonts w:asciiTheme="minorHAnsi" w:hAnsiTheme="minorHAnsi" w:cstheme="minorHAnsi"/>
          <w:color w:val="000000"/>
        </w:rPr>
        <w:t xml:space="preserve"> The COVID-1</w:t>
      </w:r>
      <w:r w:rsidR="003A3644" w:rsidRPr="0003060E">
        <w:rPr>
          <w:rFonts w:asciiTheme="minorHAnsi" w:hAnsiTheme="minorHAnsi" w:cstheme="minorHAnsi"/>
          <w:color w:val="000000"/>
        </w:rPr>
        <w:t>9</w:t>
      </w:r>
      <w:r w:rsidR="00C45B81" w:rsidRPr="0003060E">
        <w:rPr>
          <w:rFonts w:asciiTheme="minorHAnsi" w:hAnsiTheme="minorHAnsi" w:cstheme="minorHAnsi"/>
          <w:color w:val="000000"/>
        </w:rPr>
        <w:t xml:space="preserve"> pandemic from 2020 forced legal advisors and arbitrators to take up the technology for remote hearings, opening up the possibility of </w:t>
      </w:r>
      <w:r w:rsidR="00C559E8" w:rsidRPr="0003060E">
        <w:rPr>
          <w:rFonts w:asciiTheme="minorHAnsi" w:hAnsiTheme="minorHAnsi" w:cstheme="minorHAnsi"/>
          <w:color w:val="000000"/>
        </w:rPr>
        <w:t xml:space="preserve">significant and enduring </w:t>
      </w:r>
      <w:r w:rsidR="00C45B81" w:rsidRPr="0003060E">
        <w:rPr>
          <w:rFonts w:asciiTheme="minorHAnsi" w:hAnsiTheme="minorHAnsi" w:cstheme="minorHAnsi"/>
          <w:color w:val="000000"/>
        </w:rPr>
        <w:t>time and cost efficiencies</w:t>
      </w:r>
      <w:r w:rsidR="00834A96" w:rsidRPr="0003060E">
        <w:rPr>
          <w:rFonts w:asciiTheme="minorHAnsi" w:hAnsiTheme="minorHAnsi" w:cstheme="minorHAnsi"/>
          <w:color w:val="000000"/>
        </w:rPr>
        <w:t>.</w:t>
      </w:r>
      <w:r w:rsidR="00834A96" w:rsidRPr="0003060E">
        <w:rPr>
          <w:rStyle w:val="FootnoteReference"/>
          <w:rFonts w:asciiTheme="minorHAnsi" w:hAnsiTheme="minorHAnsi" w:cstheme="minorHAnsi"/>
          <w:color w:val="000000"/>
        </w:rPr>
        <w:footnoteReference w:id="144"/>
      </w:r>
      <w:r w:rsidR="00834A96" w:rsidRPr="0003060E">
        <w:rPr>
          <w:rFonts w:asciiTheme="minorHAnsi" w:hAnsiTheme="minorHAnsi" w:cstheme="minorHAnsi"/>
          <w:color w:val="000000"/>
        </w:rPr>
        <w:t xml:space="preserve"> Yet</w:t>
      </w:r>
      <w:r w:rsidR="00C45B81" w:rsidRPr="0003060E">
        <w:rPr>
          <w:rFonts w:asciiTheme="minorHAnsi" w:hAnsiTheme="minorHAnsi" w:cstheme="minorHAnsi"/>
          <w:color w:val="000000"/>
        </w:rPr>
        <w:t xml:space="preserve"> in-person </w:t>
      </w:r>
      <w:r w:rsidR="00C559E8" w:rsidRPr="0003060E">
        <w:rPr>
          <w:rFonts w:asciiTheme="minorHAnsi" w:hAnsiTheme="minorHAnsi" w:cstheme="minorHAnsi"/>
          <w:color w:val="000000"/>
        </w:rPr>
        <w:t>hearings and even meetings seem likely to keep re-emerging</w:t>
      </w:r>
      <w:r w:rsidR="00834A96" w:rsidRPr="0003060E">
        <w:rPr>
          <w:rFonts w:asciiTheme="minorHAnsi" w:hAnsiTheme="minorHAnsi" w:cstheme="minorHAnsi"/>
          <w:color w:val="000000"/>
        </w:rPr>
        <w:t xml:space="preserve"> in IA</w:t>
      </w:r>
      <w:r w:rsidR="00C559E8" w:rsidRPr="0003060E">
        <w:rPr>
          <w:rFonts w:asciiTheme="minorHAnsi" w:hAnsiTheme="minorHAnsi" w:cstheme="minorHAnsi"/>
          <w:color w:val="000000"/>
        </w:rPr>
        <w:t>.</w:t>
      </w:r>
      <w:r w:rsidR="00C559E8" w:rsidRPr="0003060E">
        <w:rPr>
          <w:rStyle w:val="FootnoteReference"/>
          <w:rFonts w:asciiTheme="minorHAnsi" w:hAnsiTheme="minorHAnsi" w:cstheme="minorHAnsi"/>
          <w:color w:val="000000"/>
        </w:rPr>
        <w:footnoteReference w:id="145"/>
      </w:r>
    </w:p>
    <w:p w14:paraId="3C9480DD" w14:textId="7EDEC1F9" w:rsidR="004E410A" w:rsidRPr="0003060E" w:rsidRDefault="00524BE9" w:rsidP="00E76D41">
      <w:pPr>
        <w:spacing w:before="120"/>
        <w:jc w:val="both"/>
        <w:rPr>
          <w:rFonts w:asciiTheme="minorHAnsi" w:hAnsiTheme="minorHAnsi" w:cstheme="minorHAnsi"/>
          <w:color w:val="000000"/>
        </w:rPr>
      </w:pPr>
      <w:r w:rsidRPr="0003060E">
        <w:rPr>
          <w:rFonts w:asciiTheme="minorHAnsi" w:hAnsiTheme="minorHAnsi" w:cstheme="minorHAnsi"/>
          <w:color w:val="000000"/>
        </w:rPr>
        <w:t xml:space="preserve"> ICA has </w:t>
      </w:r>
      <w:r w:rsidR="00D21E34" w:rsidRPr="0003060E">
        <w:rPr>
          <w:rFonts w:asciiTheme="minorHAnsi" w:hAnsiTheme="minorHAnsi" w:cstheme="minorHAnsi"/>
          <w:color w:val="000000"/>
        </w:rPr>
        <w:t>been helpfully</w:t>
      </w:r>
      <w:r w:rsidRPr="0003060E">
        <w:rPr>
          <w:rFonts w:asciiTheme="minorHAnsi" w:hAnsiTheme="minorHAnsi" w:cstheme="minorHAnsi"/>
          <w:color w:val="000000"/>
        </w:rPr>
        <w:t xml:space="preserve"> cross-fertilised by the corresponding growth of mediation, first domestically and then internationally</w:t>
      </w:r>
      <w:r w:rsidR="003D30A5" w:rsidRPr="0003060E">
        <w:rPr>
          <w:rFonts w:asciiTheme="minorHAnsi" w:hAnsiTheme="minorHAnsi" w:cstheme="minorHAnsi"/>
          <w:color w:val="000000"/>
        </w:rPr>
        <w:t>. However, this has</w:t>
      </w:r>
      <w:r w:rsidRPr="0003060E">
        <w:rPr>
          <w:rFonts w:asciiTheme="minorHAnsi" w:hAnsiTheme="minorHAnsi" w:cstheme="minorHAnsi"/>
          <w:color w:val="000000"/>
        </w:rPr>
        <w:t xml:space="preserve"> mostly</w:t>
      </w:r>
      <w:r w:rsidR="003D30A5" w:rsidRPr="0003060E">
        <w:rPr>
          <w:rFonts w:asciiTheme="minorHAnsi" w:hAnsiTheme="minorHAnsi" w:cstheme="minorHAnsi"/>
          <w:color w:val="000000"/>
        </w:rPr>
        <w:t xml:space="preserve"> occurred</w:t>
      </w:r>
      <w:r w:rsidRPr="0003060E">
        <w:rPr>
          <w:rFonts w:asciiTheme="minorHAnsi" w:hAnsiTheme="minorHAnsi" w:cstheme="minorHAnsi"/>
          <w:color w:val="000000"/>
        </w:rPr>
        <w:t xml:space="preserve"> by parties adopting </w:t>
      </w:r>
      <w:r w:rsidR="00D21E34" w:rsidRPr="0003060E">
        <w:rPr>
          <w:rFonts w:asciiTheme="minorHAnsi" w:hAnsiTheme="minorHAnsi" w:cstheme="minorHAnsi"/>
          <w:color w:val="000000"/>
        </w:rPr>
        <w:t xml:space="preserve">med-arb and other multi-tiered dispute resolution clauses </w:t>
      </w:r>
      <w:r w:rsidR="003D30A5" w:rsidRPr="0003060E">
        <w:rPr>
          <w:rFonts w:asciiTheme="minorHAnsi" w:hAnsiTheme="minorHAnsi" w:cstheme="minorHAnsi"/>
          <w:color w:val="000000"/>
        </w:rPr>
        <w:t xml:space="preserve">in commercial contracts, </w:t>
      </w:r>
      <w:r w:rsidR="00D21E34" w:rsidRPr="0003060E">
        <w:rPr>
          <w:rFonts w:asciiTheme="minorHAnsi" w:hAnsiTheme="minorHAnsi" w:cstheme="minorHAnsi"/>
          <w:color w:val="000000"/>
        </w:rPr>
        <w:t>rather than authorising Arb-Med where</w:t>
      </w:r>
      <w:r w:rsidR="004E410A" w:rsidRPr="0003060E">
        <w:rPr>
          <w:rFonts w:asciiTheme="minorHAnsi" w:hAnsiTheme="minorHAnsi" w:cstheme="minorHAnsi"/>
          <w:color w:val="000000"/>
        </w:rPr>
        <w:t>by</w:t>
      </w:r>
      <w:r w:rsidR="00D21E34" w:rsidRPr="0003060E">
        <w:rPr>
          <w:rFonts w:asciiTheme="minorHAnsi" w:hAnsiTheme="minorHAnsi" w:cstheme="minorHAnsi"/>
          <w:color w:val="000000"/>
        </w:rPr>
        <w:t xml:space="preserve"> arbitrators formally act also as mediators. The conceptual distinction between admissibility and jurisdiction to address problems about non-compliance with the pre-arbitration steps in such clauses is partly inspired by some cross-fertilisation from ISA, which could help result in some nuanced compromise solutions. Some may also welcome the growing transparency around ISA leading to less confidentiality around ICA, but others </w:t>
      </w:r>
      <w:r w:rsidR="00D21E34" w:rsidRPr="0003060E">
        <w:rPr>
          <w:rFonts w:asciiTheme="minorHAnsi" w:hAnsiTheme="minorHAnsi" w:cstheme="minorHAnsi"/>
          <w:color w:val="000000"/>
        </w:rPr>
        <w:lastRenderedPageBreak/>
        <w:t xml:space="preserve">may see </w:t>
      </w:r>
      <w:r w:rsidR="00F91971" w:rsidRPr="0003060E">
        <w:rPr>
          <w:rFonts w:asciiTheme="minorHAnsi" w:hAnsiTheme="minorHAnsi" w:cstheme="minorHAnsi"/>
          <w:color w:val="000000"/>
        </w:rPr>
        <w:t>any such latter tendency</w:t>
      </w:r>
      <w:r w:rsidR="00D21E34" w:rsidRPr="0003060E">
        <w:rPr>
          <w:rFonts w:asciiTheme="minorHAnsi" w:hAnsiTheme="minorHAnsi" w:cstheme="minorHAnsi"/>
          <w:color w:val="000000"/>
        </w:rPr>
        <w:t xml:space="preserve"> as risking further </w:t>
      </w:r>
      <w:r w:rsidR="003D30A5" w:rsidRPr="0003060E">
        <w:rPr>
          <w:rFonts w:asciiTheme="minorHAnsi" w:hAnsiTheme="minorHAnsi" w:cstheme="minorHAnsi"/>
          <w:color w:val="000000"/>
        </w:rPr>
        <w:t>over-</w:t>
      </w:r>
      <w:r w:rsidR="00D21E34" w:rsidRPr="0003060E">
        <w:rPr>
          <w:rFonts w:asciiTheme="minorHAnsi" w:hAnsiTheme="minorHAnsi" w:cstheme="minorHAnsi"/>
          <w:color w:val="000000"/>
        </w:rPr>
        <w:t>formalisation of dispute resolution among commercial parties. Even less salutary may be the spread of soft law instruments, like the IBA Guidelines on arbitrator neutrality, spreading from ICA into the ISA world</w:t>
      </w:r>
      <w:r w:rsidR="003D30A5" w:rsidRPr="0003060E">
        <w:rPr>
          <w:rFonts w:asciiTheme="minorHAnsi" w:hAnsiTheme="minorHAnsi" w:cstheme="minorHAnsi"/>
          <w:color w:val="000000"/>
        </w:rPr>
        <w:t xml:space="preserve"> without </w:t>
      </w:r>
      <w:proofErr w:type="gramStart"/>
      <w:r w:rsidR="003D30A5" w:rsidRPr="0003060E">
        <w:rPr>
          <w:rFonts w:asciiTheme="minorHAnsi" w:hAnsiTheme="minorHAnsi" w:cstheme="minorHAnsi"/>
          <w:color w:val="000000"/>
        </w:rPr>
        <w:t>taking into account</w:t>
      </w:r>
      <w:proofErr w:type="gramEnd"/>
      <w:r w:rsidR="003D30A5" w:rsidRPr="0003060E">
        <w:rPr>
          <w:rFonts w:asciiTheme="minorHAnsi" w:hAnsiTheme="minorHAnsi" w:cstheme="minorHAnsi"/>
          <w:color w:val="000000"/>
        </w:rPr>
        <w:t xml:space="preserve"> the greater public interests involved in </w:t>
      </w:r>
      <w:r w:rsidR="00F91971" w:rsidRPr="0003060E">
        <w:rPr>
          <w:rFonts w:asciiTheme="minorHAnsi" w:hAnsiTheme="minorHAnsi" w:cstheme="minorHAnsi"/>
          <w:color w:val="000000"/>
        </w:rPr>
        <w:t>ISA</w:t>
      </w:r>
      <w:r w:rsidR="00D21E34" w:rsidRPr="0003060E">
        <w:rPr>
          <w:rFonts w:asciiTheme="minorHAnsi" w:hAnsiTheme="minorHAnsi" w:cstheme="minorHAnsi"/>
          <w:color w:val="000000"/>
        </w:rPr>
        <w:t xml:space="preserve">. </w:t>
      </w:r>
    </w:p>
    <w:p w14:paraId="40432858" w14:textId="55E7C9C3" w:rsidR="00643C4E" w:rsidRPr="0003060E" w:rsidRDefault="00D21E34" w:rsidP="00E76D41">
      <w:pPr>
        <w:spacing w:before="120"/>
        <w:jc w:val="both"/>
        <w:rPr>
          <w:rFonts w:asciiTheme="minorHAnsi" w:hAnsiTheme="minorHAnsi" w:cstheme="minorHAnsi"/>
          <w:color w:val="000000"/>
        </w:rPr>
      </w:pPr>
      <w:r w:rsidRPr="0003060E">
        <w:rPr>
          <w:rFonts w:asciiTheme="minorHAnsi" w:hAnsiTheme="minorHAnsi" w:cstheme="minorHAnsi"/>
          <w:color w:val="000000"/>
        </w:rPr>
        <w:t xml:space="preserve">What this Address has tried to show, nonetheless, is that </w:t>
      </w:r>
      <w:proofErr w:type="gramStart"/>
      <w:r w:rsidRPr="0003060E">
        <w:rPr>
          <w:rFonts w:asciiTheme="minorHAnsi" w:hAnsiTheme="minorHAnsi" w:cstheme="minorHAnsi"/>
          <w:color w:val="000000"/>
        </w:rPr>
        <w:t>cross-overs</w:t>
      </w:r>
      <w:proofErr w:type="gramEnd"/>
      <w:r w:rsidRPr="0003060E">
        <w:rPr>
          <w:rFonts w:asciiTheme="minorHAnsi" w:hAnsiTheme="minorHAnsi" w:cstheme="minorHAnsi"/>
          <w:color w:val="000000"/>
        </w:rPr>
        <w:t xml:space="preserve"> are already happening among ICA, ISA and international mediation</w:t>
      </w:r>
      <w:r w:rsidR="00F94672" w:rsidRPr="0003060E">
        <w:rPr>
          <w:rFonts w:asciiTheme="minorHAnsi" w:hAnsiTheme="minorHAnsi" w:cstheme="minorHAnsi"/>
          <w:color w:val="000000"/>
        </w:rPr>
        <w:t>.</w:t>
      </w:r>
      <w:r w:rsidR="00815E91" w:rsidRPr="0003060E">
        <w:rPr>
          <w:rFonts w:asciiTheme="minorHAnsi" w:hAnsiTheme="minorHAnsi" w:cstheme="minorHAnsi"/>
          <w:color w:val="000000"/>
        </w:rPr>
        <w:t xml:space="preserve"> International law experts have</w:t>
      </w:r>
      <w:r w:rsidR="00225AD3" w:rsidRPr="0003060E">
        <w:rPr>
          <w:rFonts w:asciiTheme="minorHAnsi" w:hAnsiTheme="minorHAnsi" w:cstheme="minorHAnsi"/>
          <w:color w:val="000000"/>
        </w:rPr>
        <w:t xml:space="preserve"> also</w:t>
      </w:r>
      <w:r w:rsidR="004335C6" w:rsidRPr="0003060E">
        <w:rPr>
          <w:rFonts w:asciiTheme="minorHAnsi" w:hAnsiTheme="minorHAnsi" w:cstheme="minorHAnsi"/>
          <w:color w:val="000000"/>
        </w:rPr>
        <w:t xml:space="preserve"> </w:t>
      </w:r>
      <w:r w:rsidR="00225AD3" w:rsidRPr="0003060E">
        <w:rPr>
          <w:rFonts w:asciiTheme="minorHAnsi" w:hAnsiTheme="minorHAnsi" w:cstheme="minorHAnsi"/>
          <w:color w:val="000000"/>
        </w:rPr>
        <w:t>analysed recently the</w:t>
      </w:r>
      <w:r w:rsidR="00815E91" w:rsidRPr="0003060E">
        <w:rPr>
          <w:rFonts w:asciiTheme="minorHAnsi" w:hAnsiTheme="minorHAnsi" w:cstheme="minorHAnsi"/>
          <w:color w:val="000000"/>
        </w:rPr>
        <w:t xml:space="preserve"> growing cross-fertilisation among international courts</w:t>
      </w:r>
      <w:r w:rsidR="00225AD3" w:rsidRPr="0003060E">
        <w:rPr>
          <w:rFonts w:asciiTheme="minorHAnsi" w:hAnsiTheme="minorHAnsi" w:cstheme="minorHAnsi"/>
          <w:color w:val="000000"/>
        </w:rPr>
        <w:t xml:space="preserve">, </w:t>
      </w:r>
      <w:r w:rsidR="001F0DFF" w:rsidRPr="0003060E">
        <w:rPr>
          <w:rFonts w:asciiTheme="minorHAnsi" w:hAnsiTheme="minorHAnsi" w:cstheme="minorHAnsi"/>
          <w:color w:val="000000"/>
        </w:rPr>
        <w:t xml:space="preserve">somewhat </w:t>
      </w:r>
      <w:r w:rsidR="00225AD3" w:rsidRPr="0003060E">
        <w:rPr>
          <w:rFonts w:asciiTheme="minorHAnsi" w:hAnsiTheme="minorHAnsi" w:cstheme="minorHAnsi"/>
          <w:color w:val="000000"/>
        </w:rPr>
        <w:t>assuag</w:t>
      </w:r>
      <w:r w:rsidR="001F0DFF" w:rsidRPr="0003060E">
        <w:rPr>
          <w:rFonts w:asciiTheme="minorHAnsi" w:hAnsiTheme="minorHAnsi" w:cstheme="minorHAnsi"/>
          <w:color w:val="000000"/>
        </w:rPr>
        <w:t>ing</w:t>
      </w:r>
      <w:r w:rsidR="00225AD3" w:rsidRPr="0003060E">
        <w:rPr>
          <w:rFonts w:asciiTheme="minorHAnsi" w:hAnsiTheme="minorHAnsi" w:cstheme="minorHAnsi"/>
          <w:color w:val="000000"/>
        </w:rPr>
        <w:t xml:space="preserve"> fears about the fragmentation of international law that surfaced from the 1990s, although recently concerns have emerged again on that score.</w:t>
      </w:r>
      <w:r w:rsidR="00225AD3" w:rsidRPr="0003060E">
        <w:rPr>
          <w:rStyle w:val="FootnoteReference"/>
          <w:rFonts w:asciiTheme="minorHAnsi" w:hAnsiTheme="minorHAnsi" w:cstheme="minorHAnsi"/>
          <w:color w:val="000000"/>
        </w:rPr>
        <w:footnoteReference w:id="146"/>
      </w:r>
      <w:r w:rsidR="00225AD3" w:rsidRPr="0003060E">
        <w:rPr>
          <w:rFonts w:asciiTheme="minorHAnsi" w:hAnsiTheme="minorHAnsi" w:cstheme="minorHAnsi"/>
          <w:color w:val="000000"/>
        </w:rPr>
        <w:t xml:space="preserve"> It also seems that there is more convergence regarding procedural than substantive international law</w:t>
      </w:r>
      <w:r w:rsidR="001F0DFF" w:rsidRPr="0003060E">
        <w:rPr>
          <w:rFonts w:asciiTheme="minorHAnsi" w:hAnsiTheme="minorHAnsi" w:cstheme="minorHAnsi"/>
          <w:color w:val="000000"/>
        </w:rPr>
        <w:t>, arguably linked to the need for many procedural decisions to be made amidst considerable discretion afforded, as well as the still quite small numbers of individuals and organisations involved in and around such forums.</w:t>
      </w:r>
      <w:r w:rsidR="002C4256" w:rsidRPr="0003060E">
        <w:rPr>
          <w:rStyle w:val="FootnoteReference"/>
          <w:rFonts w:asciiTheme="minorHAnsi" w:hAnsiTheme="minorHAnsi" w:cstheme="minorHAnsi"/>
          <w:color w:val="000000"/>
        </w:rPr>
        <w:footnoteReference w:id="147"/>
      </w:r>
      <w:r w:rsidR="002C4256" w:rsidRPr="0003060E">
        <w:rPr>
          <w:rFonts w:asciiTheme="minorHAnsi" w:hAnsiTheme="minorHAnsi" w:cstheme="minorHAnsi"/>
          <w:color w:val="000000"/>
        </w:rPr>
        <w:t xml:space="preserve"> </w:t>
      </w:r>
      <w:r w:rsidR="001F0DFF" w:rsidRPr="0003060E">
        <w:rPr>
          <w:rFonts w:asciiTheme="minorHAnsi" w:hAnsiTheme="minorHAnsi" w:cstheme="minorHAnsi"/>
          <w:color w:val="000000"/>
        </w:rPr>
        <w:t>This Address has shown that crossovers</w:t>
      </w:r>
      <w:r w:rsidR="002C4256" w:rsidRPr="0003060E">
        <w:rPr>
          <w:rFonts w:asciiTheme="minorHAnsi" w:hAnsiTheme="minorHAnsi" w:cstheme="minorHAnsi"/>
          <w:color w:val="000000"/>
        </w:rPr>
        <w:t xml:space="preserve"> among</w:t>
      </w:r>
      <w:r w:rsidR="00225AD3" w:rsidRPr="0003060E">
        <w:rPr>
          <w:rFonts w:asciiTheme="minorHAnsi" w:hAnsiTheme="minorHAnsi" w:cstheme="minorHAnsi"/>
          <w:color w:val="000000"/>
        </w:rPr>
        <w:t xml:space="preserve"> IA and international mediation </w:t>
      </w:r>
      <w:r w:rsidR="002C4256" w:rsidRPr="0003060E">
        <w:rPr>
          <w:rFonts w:asciiTheme="minorHAnsi" w:hAnsiTheme="minorHAnsi" w:cstheme="minorHAnsi"/>
          <w:color w:val="000000"/>
        </w:rPr>
        <w:t>seem to be accelerating too</w:t>
      </w:r>
      <w:r w:rsidR="001F0DFF" w:rsidRPr="0003060E">
        <w:rPr>
          <w:rFonts w:asciiTheme="minorHAnsi" w:hAnsiTheme="minorHAnsi" w:cstheme="minorHAnsi"/>
          <w:color w:val="000000"/>
        </w:rPr>
        <w:t>. T</w:t>
      </w:r>
      <w:r w:rsidR="00F91971" w:rsidRPr="0003060E">
        <w:rPr>
          <w:rFonts w:asciiTheme="minorHAnsi" w:hAnsiTheme="minorHAnsi" w:cstheme="minorHAnsi"/>
          <w:color w:val="000000"/>
        </w:rPr>
        <w:t>he</w:t>
      </w:r>
      <w:r w:rsidR="002C4256" w:rsidRPr="0003060E">
        <w:rPr>
          <w:rFonts w:asciiTheme="minorHAnsi" w:hAnsiTheme="minorHAnsi" w:cstheme="minorHAnsi"/>
          <w:color w:val="000000"/>
        </w:rPr>
        <w:t>re should be ongoing scrutiny of the</w:t>
      </w:r>
      <w:r w:rsidR="00F91971" w:rsidRPr="0003060E">
        <w:rPr>
          <w:rFonts w:asciiTheme="minorHAnsi" w:hAnsiTheme="minorHAnsi" w:cstheme="minorHAnsi"/>
          <w:color w:val="000000"/>
        </w:rPr>
        <w:t xml:space="preserve"> pros and cons of examples</w:t>
      </w:r>
      <w:r w:rsidR="002C4256" w:rsidRPr="0003060E">
        <w:rPr>
          <w:rFonts w:asciiTheme="minorHAnsi" w:hAnsiTheme="minorHAnsi" w:cstheme="minorHAnsi"/>
          <w:color w:val="000000"/>
        </w:rPr>
        <w:t xml:space="preserve"> </w:t>
      </w:r>
      <w:r w:rsidR="001F0DFF" w:rsidRPr="0003060E">
        <w:rPr>
          <w:rFonts w:asciiTheme="minorHAnsi" w:hAnsiTheme="minorHAnsi" w:cstheme="minorHAnsi"/>
          <w:color w:val="000000"/>
        </w:rPr>
        <w:t>identified</w:t>
      </w:r>
      <w:r w:rsidR="002C4256" w:rsidRPr="0003060E">
        <w:rPr>
          <w:rFonts w:asciiTheme="minorHAnsi" w:hAnsiTheme="minorHAnsi" w:cstheme="minorHAnsi"/>
          <w:color w:val="000000"/>
        </w:rPr>
        <w:t xml:space="preserve"> (and </w:t>
      </w:r>
      <w:r w:rsidR="001F0DFF" w:rsidRPr="0003060E">
        <w:rPr>
          <w:rFonts w:asciiTheme="minorHAnsi" w:hAnsiTheme="minorHAnsi" w:cstheme="minorHAnsi"/>
          <w:color w:val="000000"/>
        </w:rPr>
        <w:t xml:space="preserve">doubles </w:t>
      </w:r>
      <w:r w:rsidR="002C4256" w:rsidRPr="0003060E">
        <w:rPr>
          <w:rFonts w:asciiTheme="minorHAnsi" w:hAnsiTheme="minorHAnsi" w:cstheme="minorHAnsi"/>
          <w:color w:val="000000"/>
        </w:rPr>
        <w:t>others</w:t>
      </w:r>
      <w:r w:rsidR="004E410A" w:rsidRPr="0003060E">
        <w:rPr>
          <w:rStyle w:val="FootnoteReference"/>
          <w:rFonts w:asciiTheme="minorHAnsi" w:hAnsiTheme="minorHAnsi" w:cstheme="minorHAnsi"/>
          <w:color w:val="000000"/>
        </w:rPr>
        <w:footnoteReference w:id="148"/>
      </w:r>
      <w:r w:rsidR="002C4256" w:rsidRPr="0003060E">
        <w:rPr>
          <w:rFonts w:asciiTheme="minorHAnsi" w:hAnsiTheme="minorHAnsi" w:cstheme="minorHAnsi"/>
          <w:color w:val="000000"/>
        </w:rPr>
        <w:t>), particularly from the perspective of reducing costs and delays. This c</w:t>
      </w:r>
      <w:r w:rsidR="00F94672" w:rsidRPr="0003060E">
        <w:rPr>
          <w:rFonts w:asciiTheme="minorHAnsi" w:hAnsiTheme="minorHAnsi" w:cstheme="minorHAnsi"/>
          <w:color w:val="000000"/>
        </w:rPr>
        <w:t>ross-fertilisation</w:t>
      </w:r>
      <w:r w:rsidR="002C4256" w:rsidRPr="0003060E">
        <w:rPr>
          <w:rFonts w:asciiTheme="minorHAnsi" w:hAnsiTheme="minorHAnsi" w:cstheme="minorHAnsi"/>
          <w:color w:val="000000"/>
        </w:rPr>
        <w:t xml:space="preserve"> </w:t>
      </w:r>
      <w:r w:rsidRPr="0003060E">
        <w:rPr>
          <w:rFonts w:asciiTheme="minorHAnsi" w:hAnsiTheme="minorHAnsi" w:cstheme="minorHAnsi"/>
          <w:color w:val="000000"/>
        </w:rPr>
        <w:t>need</w:t>
      </w:r>
      <w:r w:rsidR="004E410A" w:rsidRPr="0003060E">
        <w:rPr>
          <w:rFonts w:asciiTheme="minorHAnsi" w:hAnsiTheme="minorHAnsi" w:cstheme="minorHAnsi"/>
          <w:color w:val="000000"/>
        </w:rPr>
        <w:t>s</w:t>
      </w:r>
      <w:r w:rsidRPr="0003060E">
        <w:rPr>
          <w:rFonts w:asciiTheme="minorHAnsi" w:hAnsiTheme="minorHAnsi" w:cstheme="minorHAnsi"/>
          <w:color w:val="000000"/>
        </w:rPr>
        <w:t xml:space="preserve"> to be tracked and then channelled into the most productive interactions</w:t>
      </w:r>
      <w:r w:rsidR="004E410A" w:rsidRPr="0003060E">
        <w:rPr>
          <w:rFonts w:asciiTheme="minorHAnsi" w:hAnsiTheme="minorHAnsi" w:cstheme="minorHAnsi"/>
          <w:color w:val="000000"/>
        </w:rPr>
        <w:t xml:space="preserve"> for the overall system of international commercial dispute resolution</w:t>
      </w:r>
      <w:r w:rsidRPr="0003060E">
        <w:rPr>
          <w:rFonts w:asciiTheme="minorHAnsi" w:hAnsiTheme="minorHAnsi" w:cstheme="minorHAnsi"/>
          <w:color w:val="000000"/>
        </w:rPr>
        <w:t>.</w:t>
      </w:r>
      <w:r w:rsidR="004E410A" w:rsidRPr="0003060E">
        <w:rPr>
          <w:rStyle w:val="FootnoteReference"/>
          <w:rFonts w:asciiTheme="minorHAnsi" w:hAnsiTheme="minorHAnsi" w:cstheme="minorHAnsi"/>
          <w:color w:val="000000"/>
        </w:rPr>
        <w:footnoteReference w:id="149"/>
      </w:r>
      <w:r w:rsidRPr="0003060E">
        <w:rPr>
          <w:rFonts w:asciiTheme="minorHAnsi" w:hAnsiTheme="minorHAnsi" w:cstheme="minorHAnsi"/>
          <w:color w:val="000000"/>
        </w:rPr>
        <w:t xml:space="preserve"> </w:t>
      </w:r>
    </w:p>
    <w:sectPr w:rsidR="00643C4E" w:rsidRPr="0003060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E9FB" w14:textId="77777777" w:rsidR="00283865" w:rsidRDefault="00283865" w:rsidP="00CC3E21">
      <w:r>
        <w:separator/>
      </w:r>
    </w:p>
  </w:endnote>
  <w:endnote w:type="continuationSeparator" w:id="0">
    <w:p w14:paraId="087535B4" w14:textId="77777777" w:rsidR="00283865" w:rsidRDefault="00283865" w:rsidP="00CC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ionPro-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749139"/>
      <w:docPartObj>
        <w:docPartGallery w:val="Page Numbers (Bottom of Page)"/>
        <w:docPartUnique/>
      </w:docPartObj>
    </w:sdtPr>
    <w:sdtEndPr>
      <w:rPr>
        <w:noProof/>
      </w:rPr>
    </w:sdtEndPr>
    <w:sdtContent>
      <w:p w14:paraId="6FFC8FA6" w14:textId="5AB8829A" w:rsidR="00F16347" w:rsidRDefault="00F163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D2BAA" w14:textId="77777777" w:rsidR="00F16347" w:rsidRDefault="00F1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CD14" w14:textId="77777777" w:rsidR="00283865" w:rsidRDefault="00283865" w:rsidP="00CC3E21">
      <w:r>
        <w:separator/>
      </w:r>
    </w:p>
  </w:footnote>
  <w:footnote w:type="continuationSeparator" w:id="0">
    <w:p w14:paraId="2CACBD27" w14:textId="77777777" w:rsidR="00283865" w:rsidRDefault="00283865" w:rsidP="00CC3E21">
      <w:r>
        <w:continuationSeparator/>
      </w:r>
    </w:p>
  </w:footnote>
  <w:footnote w:id="1">
    <w:p w14:paraId="1E8A0562" w14:textId="2EBF6EC4" w:rsidR="00B17576" w:rsidRPr="0003060E" w:rsidRDefault="00B17576">
      <w:pPr>
        <w:pStyle w:val="FootnoteText"/>
        <w:rPr>
          <w:rFonts w:cstheme="minorHAnsi"/>
        </w:rPr>
      </w:pPr>
      <w:r w:rsidRPr="0003060E">
        <w:rPr>
          <w:rStyle w:val="FootnoteReference"/>
          <w:rFonts w:cstheme="minorHAnsi"/>
        </w:rPr>
        <w:t>#</w:t>
      </w:r>
      <w:r w:rsidRPr="0003060E">
        <w:rPr>
          <w:rFonts w:cstheme="minorHAnsi"/>
        </w:rPr>
        <w:t xml:space="preserve"> I am grateful for</w:t>
      </w:r>
      <w:r w:rsidR="00D72F13" w:rsidRPr="0003060E">
        <w:rPr>
          <w:rFonts w:cstheme="minorHAnsi"/>
        </w:rPr>
        <w:t xml:space="preserve"> the invitation from the Australian Disputes Centre for the invitation to present this</w:t>
      </w:r>
      <w:r w:rsidR="00834A96" w:rsidRPr="0003060E">
        <w:rPr>
          <w:rFonts w:cstheme="minorHAnsi"/>
        </w:rPr>
        <w:t xml:space="preserve"> annual</w:t>
      </w:r>
      <w:r w:rsidR="00D72F13" w:rsidRPr="0003060E">
        <w:rPr>
          <w:rFonts w:cstheme="minorHAnsi"/>
        </w:rPr>
        <w:t xml:space="preserve"> public lecture and </w:t>
      </w:r>
      <w:r w:rsidR="00834A96" w:rsidRPr="0003060E">
        <w:rPr>
          <w:rFonts w:cstheme="minorHAnsi"/>
        </w:rPr>
        <w:t xml:space="preserve">to </w:t>
      </w:r>
      <w:r w:rsidR="00D72F13" w:rsidRPr="0003060E">
        <w:rPr>
          <w:rFonts w:cstheme="minorHAnsi"/>
        </w:rPr>
        <w:t>the Chief Justice of New South Wales, the Hon Andrew Bell, for hosting th</w:t>
      </w:r>
      <w:r w:rsidR="00834A96" w:rsidRPr="0003060E">
        <w:rPr>
          <w:rFonts w:cstheme="minorHAnsi"/>
        </w:rPr>
        <w:t>is series.</w:t>
      </w:r>
      <w:r w:rsidRPr="0003060E">
        <w:rPr>
          <w:rFonts w:cstheme="minorHAnsi"/>
        </w:rPr>
        <w:t xml:space="preserve"> </w:t>
      </w:r>
      <w:r w:rsidRPr="0003060E">
        <w:rPr>
          <w:rFonts w:cstheme="minorHAnsi"/>
          <w:lang w:val="en-US"/>
        </w:rPr>
        <w:t xml:space="preserve">For editorial and research assistance I thank Kim Nguyen and especially James Tanna. For helpful </w:t>
      </w:r>
      <w:r w:rsidR="00435D46" w:rsidRPr="0003060E">
        <w:rPr>
          <w:rFonts w:cstheme="minorHAnsi"/>
          <w:lang w:val="en-US"/>
        </w:rPr>
        <w:t xml:space="preserve">information and/or </w:t>
      </w:r>
      <w:r w:rsidRPr="0003060E">
        <w:rPr>
          <w:rFonts w:cstheme="minorHAnsi"/>
          <w:lang w:val="en-US"/>
        </w:rPr>
        <w:t>feedback on earlier drafts I thank</w:t>
      </w:r>
      <w:r w:rsidR="00435D46" w:rsidRPr="0003060E">
        <w:rPr>
          <w:rFonts w:cstheme="minorHAnsi"/>
          <w:lang w:val="en-US"/>
        </w:rPr>
        <w:t xml:space="preserve"> Giorgio Colombo,</w:t>
      </w:r>
      <w:r w:rsidR="00786E27" w:rsidRPr="0003060E">
        <w:rPr>
          <w:rFonts w:cstheme="minorHAnsi"/>
          <w:lang w:val="en-US"/>
        </w:rPr>
        <w:t xml:space="preserve"> Robert French,</w:t>
      </w:r>
      <w:r w:rsidRPr="0003060E">
        <w:rPr>
          <w:rFonts w:cstheme="minorHAnsi"/>
          <w:lang w:val="en-US"/>
        </w:rPr>
        <w:t xml:space="preserve"> </w:t>
      </w:r>
      <w:r w:rsidR="00435D46" w:rsidRPr="0003060E">
        <w:rPr>
          <w:rFonts w:cstheme="minorHAnsi"/>
          <w:lang w:val="en-US"/>
        </w:rPr>
        <w:t xml:space="preserve">Catherine Green, </w:t>
      </w:r>
      <w:r w:rsidR="00762ABC" w:rsidRPr="0003060E">
        <w:rPr>
          <w:rFonts w:cstheme="minorHAnsi"/>
          <w:lang w:val="en-US"/>
        </w:rPr>
        <w:t xml:space="preserve">Michael Hwang, </w:t>
      </w:r>
      <w:r w:rsidR="00435D46" w:rsidRPr="0003060E">
        <w:rPr>
          <w:rFonts w:cstheme="minorHAnsi"/>
          <w:lang w:val="en-US"/>
        </w:rPr>
        <w:t xml:space="preserve">Amokura Kawharu, </w:t>
      </w:r>
      <w:r w:rsidR="001F0DFF" w:rsidRPr="0003060E">
        <w:rPr>
          <w:rFonts w:cstheme="minorHAnsi"/>
          <w:lang w:val="en-US"/>
        </w:rPr>
        <w:t xml:space="preserve">Joshua Paine, </w:t>
      </w:r>
      <w:r w:rsidR="004E3061" w:rsidRPr="0003060E">
        <w:rPr>
          <w:rFonts w:cstheme="minorHAnsi"/>
          <w:lang w:val="en-US"/>
        </w:rPr>
        <w:t>Stacie Strong,</w:t>
      </w:r>
      <w:r w:rsidR="00435D46" w:rsidRPr="0003060E">
        <w:rPr>
          <w:rFonts w:cstheme="minorHAnsi"/>
          <w:lang w:val="en-US"/>
        </w:rPr>
        <w:t xml:space="preserve"> Julie Ward,</w:t>
      </w:r>
      <w:r w:rsidRPr="0003060E">
        <w:rPr>
          <w:rFonts w:cstheme="minorHAnsi"/>
          <w:lang w:val="en-US"/>
        </w:rPr>
        <w:t xml:space="preserve"> Marilyn Warren</w:t>
      </w:r>
      <w:r w:rsidR="00C60AAB" w:rsidRPr="0003060E">
        <w:rPr>
          <w:rFonts w:cstheme="minorHAnsi"/>
          <w:lang w:val="en-US"/>
        </w:rPr>
        <w:t>, Man Yip</w:t>
      </w:r>
      <w:r w:rsidR="00912AF4" w:rsidRPr="0003060E">
        <w:rPr>
          <w:rFonts w:cstheme="minorHAnsi"/>
          <w:lang w:val="en-US"/>
        </w:rPr>
        <w:t xml:space="preserve">; </w:t>
      </w:r>
      <w:r w:rsidR="00CC3A68" w:rsidRPr="0003060E">
        <w:rPr>
          <w:rFonts w:cstheme="minorHAnsi"/>
          <w:lang w:val="en-US"/>
        </w:rPr>
        <w:t>and especially Julien Chaisse</w:t>
      </w:r>
      <w:r w:rsidR="00C60AAB" w:rsidRPr="0003060E">
        <w:rPr>
          <w:rFonts w:cstheme="minorHAnsi"/>
          <w:lang w:val="en-US"/>
        </w:rPr>
        <w:t>, Richard Garnett</w:t>
      </w:r>
      <w:r w:rsidR="00912AF4" w:rsidRPr="0003060E">
        <w:rPr>
          <w:rFonts w:cstheme="minorHAnsi"/>
          <w:lang w:val="en-US"/>
        </w:rPr>
        <w:t xml:space="preserve">, </w:t>
      </w:r>
      <w:r w:rsidR="00CC3A68" w:rsidRPr="0003060E">
        <w:rPr>
          <w:rFonts w:cstheme="minorHAnsi"/>
          <w:lang w:val="en-US"/>
        </w:rPr>
        <w:t xml:space="preserve">Joongi Kim </w:t>
      </w:r>
      <w:r w:rsidR="00912AF4" w:rsidRPr="0003060E">
        <w:rPr>
          <w:rFonts w:cstheme="minorHAnsi"/>
          <w:lang w:val="en-US"/>
        </w:rPr>
        <w:t>and Wayne Martin.</w:t>
      </w:r>
      <w:r w:rsidRPr="0003060E">
        <w:rPr>
          <w:rFonts w:cstheme="minorHAnsi"/>
          <w:lang w:val="en-US"/>
        </w:rPr>
        <w:t xml:space="preserve"> Any remaining misconceptions or errors remain my sole responsibility.</w:t>
      </w:r>
    </w:p>
  </w:footnote>
  <w:footnote w:id="2">
    <w:p w14:paraId="55DD2AAB" w14:textId="1DD4A634" w:rsidR="0075748E" w:rsidRPr="0003060E" w:rsidRDefault="0075748E">
      <w:pPr>
        <w:pStyle w:val="FootnoteText"/>
        <w:rPr>
          <w:rFonts w:cstheme="minorHAnsi"/>
          <w:lang w:val="en-US"/>
        </w:rPr>
      </w:pPr>
      <w:r w:rsidRPr="0003060E">
        <w:rPr>
          <w:rStyle w:val="FootnoteReference"/>
          <w:rFonts w:cstheme="minorHAnsi"/>
        </w:rPr>
        <w:t>*</w:t>
      </w:r>
      <w:r w:rsidRPr="0003060E">
        <w:rPr>
          <w:rFonts w:cstheme="minorHAnsi"/>
        </w:rPr>
        <w:t xml:space="preserve"> </w:t>
      </w:r>
      <w:r w:rsidRPr="0003060E">
        <w:rPr>
          <w:rFonts w:cstheme="minorHAnsi"/>
          <w:lang w:val="en-US"/>
        </w:rPr>
        <w:t>Professor of Comparative and Transnational Business Law, University of Sydney Law School; Special Counsel, Williams Trade Law.</w:t>
      </w:r>
    </w:p>
  </w:footnote>
  <w:footnote w:id="3">
    <w:p w14:paraId="0C0C6F07" w14:textId="23785E63" w:rsidR="00FD202C" w:rsidRPr="0003060E" w:rsidRDefault="00FD202C">
      <w:pPr>
        <w:pStyle w:val="FootnoteText"/>
        <w:rPr>
          <w:rFonts w:cstheme="minorHAnsi"/>
        </w:rPr>
      </w:pPr>
      <w:r w:rsidRPr="0003060E">
        <w:rPr>
          <w:rStyle w:val="FootnoteReference"/>
          <w:rFonts w:cstheme="minorHAnsi"/>
        </w:rPr>
        <w:footnoteRef/>
      </w:r>
      <w:r w:rsidRPr="0003060E">
        <w:rPr>
          <w:rFonts w:cstheme="minorHAnsi"/>
        </w:rPr>
        <w:t xml:space="preserve"> See, </w:t>
      </w:r>
      <w:proofErr w:type="spellStart"/>
      <w:r w:rsidRPr="0003060E">
        <w:rPr>
          <w:rFonts w:cstheme="minorHAnsi"/>
        </w:rPr>
        <w:t>eg</w:t>
      </w:r>
      <w:proofErr w:type="spellEnd"/>
      <w:r w:rsidRPr="0003060E">
        <w:rPr>
          <w:rFonts w:cstheme="minorHAnsi"/>
        </w:rPr>
        <w:t xml:space="preserve">, Michael Hwang, ‘Commercial Courts and International Arbitration—Competitors or Partners?’ (2015) 31(2) </w:t>
      </w:r>
      <w:r w:rsidRPr="0003060E">
        <w:rPr>
          <w:rStyle w:val="Emphasis"/>
          <w:rFonts w:cstheme="minorHAnsi"/>
        </w:rPr>
        <w:t>Arbitration International</w:t>
      </w:r>
      <w:r w:rsidRPr="0003060E">
        <w:rPr>
          <w:rFonts w:cstheme="minorHAnsi"/>
        </w:rPr>
        <w:t xml:space="preserve"> 193; </w:t>
      </w:r>
      <w:r w:rsidRPr="0003060E">
        <w:rPr>
          <w:rFonts w:cstheme="minorHAnsi"/>
          <w:lang w:val="en-US"/>
        </w:rPr>
        <w:t xml:space="preserve">James Allsop and Samuel Walpole, ‘International Commercial Dispute Resolution as a System’ in Sundaresh Menon and Anselmo Reyes (eds) </w:t>
      </w:r>
      <w:r w:rsidRPr="0003060E">
        <w:rPr>
          <w:rFonts w:cstheme="minorHAnsi"/>
          <w:i/>
          <w:iCs/>
        </w:rPr>
        <w:t>Transnational Commercial Disputes in an Age of Anti-Globalism and Pandemic</w:t>
      </w:r>
      <w:r w:rsidRPr="0003060E">
        <w:rPr>
          <w:rFonts w:cstheme="minorHAnsi"/>
          <w:lang w:val="en-US"/>
        </w:rPr>
        <w:t xml:space="preserve"> (Hart 2022) 43</w:t>
      </w:r>
      <w:r w:rsidR="00D10023" w:rsidRPr="0003060E">
        <w:rPr>
          <w:rFonts w:cstheme="minorHAnsi"/>
          <w:lang w:val="en-US"/>
        </w:rPr>
        <w:t xml:space="preserve">; </w:t>
      </w:r>
      <w:r w:rsidR="00D10023" w:rsidRPr="0003060E">
        <w:rPr>
          <w:rFonts w:cstheme="minorHAnsi"/>
        </w:rPr>
        <w:t>Franco Ferrari and Friedrich Rosenfeld, ‘Deference in International Commercial Arbitration: Setting the Stage’</w:t>
      </w:r>
      <w:r w:rsidR="00D10023" w:rsidRPr="0003060E">
        <w:rPr>
          <w:rFonts w:cstheme="minorHAnsi"/>
          <w:lang w:val="en-US"/>
        </w:rPr>
        <w:t xml:space="preserve"> </w:t>
      </w:r>
      <w:r w:rsidR="00D10023" w:rsidRPr="0003060E">
        <w:rPr>
          <w:rFonts w:cstheme="minorHAnsi"/>
        </w:rPr>
        <w:t xml:space="preserve">in Franco Ferrari and Friedrich Rosenfeld (eds), </w:t>
      </w:r>
      <w:r w:rsidR="00D10023" w:rsidRPr="0003060E">
        <w:rPr>
          <w:rFonts w:cstheme="minorHAnsi"/>
          <w:i/>
          <w:iCs/>
        </w:rPr>
        <w:t>Deference in International Commercial Arbitration</w:t>
      </w:r>
      <w:r w:rsidR="00D10023" w:rsidRPr="0003060E">
        <w:rPr>
          <w:rFonts w:cstheme="minorHAnsi"/>
        </w:rPr>
        <w:t xml:space="preserve"> (Wolters Kluwer, 2023) 3</w:t>
      </w:r>
      <w:r w:rsidRPr="0003060E">
        <w:rPr>
          <w:rFonts w:cstheme="minorHAnsi"/>
          <w:lang w:val="en-US"/>
        </w:rPr>
        <w:t>.</w:t>
      </w:r>
    </w:p>
  </w:footnote>
  <w:footnote w:id="4">
    <w:p w14:paraId="2DA528D5" w14:textId="61905F11" w:rsidR="00CC3E21" w:rsidRPr="0003060E" w:rsidRDefault="00CC3E21">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 xml:space="preserve">But </w:t>
      </w:r>
      <w:proofErr w:type="gramStart"/>
      <w:r w:rsidRPr="0003060E">
        <w:rPr>
          <w:rFonts w:cstheme="minorHAnsi"/>
          <w:lang w:val="en-US"/>
        </w:rPr>
        <w:t>see recently</w:t>
      </w:r>
      <w:proofErr w:type="gramEnd"/>
      <w:r w:rsidRPr="0003060E">
        <w:rPr>
          <w:rFonts w:cstheme="minorHAnsi"/>
          <w:lang w:val="en-US"/>
        </w:rPr>
        <w:t xml:space="preserve"> </w:t>
      </w:r>
      <w:r w:rsidR="005905DF" w:rsidRPr="0003060E">
        <w:rPr>
          <w:rFonts w:cstheme="minorHAnsi"/>
          <w:lang w:val="en-US"/>
        </w:rPr>
        <w:t>St</w:t>
      </w:r>
      <w:r w:rsidR="00F94672" w:rsidRPr="0003060E">
        <w:rPr>
          <w:rFonts w:cstheme="minorHAnsi"/>
          <w:lang w:val="en-US"/>
        </w:rPr>
        <w:t>avros</w:t>
      </w:r>
      <w:r w:rsidR="005905DF" w:rsidRPr="0003060E">
        <w:rPr>
          <w:rFonts w:cstheme="minorHAnsi"/>
          <w:lang w:val="en-US"/>
        </w:rPr>
        <w:t xml:space="preserve"> </w:t>
      </w:r>
      <w:r w:rsidRPr="0003060E">
        <w:rPr>
          <w:rFonts w:cstheme="minorHAnsi"/>
          <w:lang w:val="en-US"/>
        </w:rPr>
        <w:t>Brekoulakis</w:t>
      </w:r>
      <w:r w:rsidR="005905DF" w:rsidRPr="0003060E">
        <w:rPr>
          <w:rFonts w:cstheme="minorHAnsi"/>
          <w:lang w:val="en-US"/>
        </w:rPr>
        <w:t xml:space="preserve">, ‘The Historical Treatment of Arbitration under English Law and the Development of the Policy </w:t>
      </w:r>
      <w:proofErr w:type="spellStart"/>
      <w:r w:rsidR="005905DF" w:rsidRPr="0003060E">
        <w:rPr>
          <w:rFonts w:cstheme="minorHAnsi"/>
          <w:lang w:val="en-US"/>
        </w:rPr>
        <w:t>Favouring</w:t>
      </w:r>
      <w:proofErr w:type="spellEnd"/>
      <w:r w:rsidR="005905DF" w:rsidRPr="0003060E">
        <w:rPr>
          <w:rFonts w:cstheme="minorHAnsi"/>
          <w:lang w:val="en-US"/>
        </w:rPr>
        <w:t xml:space="preserve"> Arbitration’</w:t>
      </w:r>
      <w:r w:rsidR="009A23CA" w:rsidRPr="0003060E">
        <w:rPr>
          <w:rFonts w:cstheme="minorHAnsi"/>
          <w:lang w:val="en-US"/>
        </w:rPr>
        <w:t xml:space="preserve"> </w:t>
      </w:r>
      <w:r w:rsidR="005905DF" w:rsidRPr="0003060E">
        <w:rPr>
          <w:rFonts w:cstheme="minorHAnsi"/>
          <w:lang w:val="en-US"/>
        </w:rPr>
        <w:t>(</w:t>
      </w:r>
      <w:r w:rsidR="009A23CA" w:rsidRPr="0003060E">
        <w:rPr>
          <w:rFonts w:cstheme="minorHAnsi"/>
          <w:lang w:val="en-US"/>
        </w:rPr>
        <w:t>2019</w:t>
      </w:r>
      <w:r w:rsidR="005905DF" w:rsidRPr="0003060E">
        <w:rPr>
          <w:rFonts w:cstheme="minorHAnsi"/>
          <w:lang w:val="en-US"/>
        </w:rPr>
        <w:t xml:space="preserve">) 39(1) </w:t>
      </w:r>
      <w:r w:rsidR="009C6A86" w:rsidRPr="0003060E">
        <w:rPr>
          <w:rFonts w:cstheme="minorHAnsi"/>
          <w:i/>
          <w:iCs/>
        </w:rPr>
        <w:t xml:space="preserve">Oxford Journal of Legal Studies </w:t>
      </w:r>
      <w:r w:rsidR="009C6A86" w:rsidRPr="0003060E">
        <w:rPr>
          <w:rFonts w:cstheme="minorHAnsi"/>
        </w:rPr>
        <w:t>124.</w:t>
      </w:r>
    </w:p>
  </w:footnote>
  <w:footnote w:id="5">
    <w:p w14:paraId="1E38B188" w14:textId="1BC00C4A" w:rsidR="00CC3E21" w:rsidRPr="0003060E" w:rsidRDefault="00CC3E21" w:rsidP="0011094A">
      <w:pPr>
        <w:autoSpaceDE w:val="0"/>
        <w:autoSpaceDN w:val="0"/>
        <w:adjustRightInd w:val="0"/>
        <w:rPr>
          <w:rFonts w:asciiTheme="minorHAnsi" w:hAnsiTheme="minorHAnsi" w:cstheme="minorHAnsi"/>
          <w:sz w:val="20"/>
          <w:szCs w:val="20"/>
        </w:rPr>
      </w:pPr>
      <w:r w:rsidRPr="0003060E">
        <w:rPr>
          <w:rStyle w:val="FootnoteReference"/>
          <w:rFonts w:asciiTheme="minorHAnsi" w:hAnsiTheme="minorHAnsi" w:cstheme="minorHAnsi"/>
          <w:sz w:val="20"/>
          <w:szCs w:val="20"/>
        </w:rPr>
        <w:footnoteRef/>
      </w:r>
      <w:r w:rsidRPr="0003060E">
        <w:rPr>
          <w:rFonts w:asciiTheme="minorHAnsi" w:hAnsiTheme="minorHAnsi" w:cstheme="minorHAnsi"/>
          <w:sz w:val="20"/>
          <w:szCs w:val="20"/>
        </w:rPr>
        <w:t xml:space="preserve"> </w:t>
      </w:r>
      <w:r w:rsidR="0011094A" w:rsidRPr="0003060E">
        <w:rPr>
          <w:rFonts w:asciiTheme="minorHAnsi" w:hAnsiTheme="minorHAnsi" w:cstheme="minorHAnsi"/>
          <w:sz w:val="20"/>
          <w:szCs w:val="20"/>
        </w:rPr>
        <w:t xml:space="preserve">Megan Richardson, ‘Arbitration Law Reform: The New Zealand Experience’ (1996) 12 </w:t>
      </w:r>
      <w:r w:rsidR="0011094A" w:rsidRPr="0003060E">
        <w:rPr>
          <w:rFonts w:asciiTheme="minorHAnsi" w:hAnsiTheme="minorHAnsi" w:cstheme="minorHAnsi"/>
          <w:i/>
          <w:iCs/>
          <w:sz w:val="20"/>
          <w:szCs w:val="20"/>
        </w:rPr>
        <w:t xml:space="preserve">Arbitration International </w:t>
      </w:r>
      <w:r w:rsidR="0011094A" w:rsidRPr="0003060E">
        <w:rPr>
          <w:rFonts w:asciiTheme="minorHAnsi" w:hAnsiTheme="minorHAnsi" w:cstheme="minorHAnsi"/>
          <w:sz w:val="20"/>
          <w:szCs w:val="20"/>
        </w:rPr>
        <w:t>57.</w:t>
      </w:r>
    </w:p>
  </w:footnote>
  <w:footnote w:id="6">
    <w:p w14:paraId="6649D862" w14:textId="4C027BF1" w:rsidR="00C83FF9" w:rsidRPr="0003060E" w:rsidRDefault="00C83FF9" w:rsidP="00C83FF9">
      <w:pPr>
        <w:pStyle w:val="FootnoteText"/>
        <w:rPr>
          <w:rFonts w:cstheme="minorHAnsi"/>
          <w:lang w:val="en-GB"/>
        </w:rPr>
      </w:pPr>
      <w:r w:rsidRPr="0003060E">
        <w:rPr>
          <w:rStyle w:val="FootnoteReference"/>
          <w:rFonts w:cstheme="minorHAnsi"/>
        </w:rPr>
        <w:footnoteRef/>
      </w:r>
      <w:r w:rsidRPr="0003060E">
        <w:rPr>
          <w:rFonts w:cstheme="minorHAnsi"/>
        </w:rPr>
        <w:t xml:space="preserve"> </w:t>
      </w:r>
      <w:r w:rsidR="00A002C7" w:rsidRPr="0003060E">
        <w:rPr>
          <w:rFonts w:cstheme="minorHAnsi"/>
        </w:rPr>
        <w:t>Luke Nottage and Richard Garnett</w:t>
      </w:r>
      <w:r w:rsidR="0011094A" w:rsidRPr="0003060E">
        <w:rPr>
          <w:rFonts w:cstheme="minorHAnsi"/>
        </w:rPr>
        <w:t xml:space="preserve">, ‘Introduction’ in Luke Nottage and Richard Garnett </w:t>
      </w:r>
      <w:r w:rsidR="00A002C7" w:rsidRPr="0003060E">
        <w:rPr>
          <w:rFonts w:cstheme="minorHAnsi"/>
        </w:rPr>
        <w:t xml:space="preserve">(eds), </w:t>
      </w:r>
      <w:r w:rsidR="00A002C7" w:rsidRPr="0003060E">
        <w:rPr>
          <w:rFonts w:cstheme="minorHAnsi"/>
          <w:i/>
          <w:iCs/>
        </w:rPr>
        <w:t>International Arbitration in Australia</w:t>
      </w:r>
      <w:r w:rsidR="00A002C7" w:rsidRPr="0003060E">
        <w:rPr>
          <w:rFonts w:cstheme="minorHAnsi"/>
        </w:rPr>
        <w:t xml:space="preserve"> (Federation Press, 2010)</w:t>
      </w:r>
      <w:r w:rsidR="0011094A" w:rsidRPr="0003060E">
        <w:rPr>
          <w:rFonts w:cstheme="minorHAnsi"/>
        </w:rPr>
        <w:t xml:space="preserve"> 32, </w:t>
      </w:r>
      <w:r w:rsidR="00A002C7" w:rsidRPr="0003060E">
        <w:rPr>
          <w:rFonts w:cstheme="minorHAnsi"/>
        </w:rPr>
        <w:t xml:space="preserve">Appendix I, comparing case filing numbers in ACICA compared to other arbitral institutions over that period. ACICA does not publicise annual filings like </w:t>
      </w:r>
      <w:r w:rsidR="0011094A" w:rsidRPr="0003060E">
        <w:rPr>
          <w:rFonts w:cstheme="minorHAnsi"/>
        </w:rPr>
        <w:t xml:space="preserve">most </w:t>
      </w:r>
      <w:r w:rsidR="00A002C7" w:rsidRPr="0003060E">
        <w:rPr>
          <w:rFonts w:cstheme="minorHAnsi"/>
        </w:rPr>
        <w:t>other institutions but in 202</w:t>
      </w:r>
      <w:r w:rsidR="0011094A" w:rsidRPr="0003060E">
        <w:rPr>
          <w:rFonts w:cstheme="minorHAnsi"/>
        </w:rPr>
        <w:t>2</w:t>
      </w:r>
      <w:r w:rsidR="00A002C7" w:rsidRPr="0003060E">
        <w:rPr>
          <w:rFonts w:cstheme="minorHAnsi"/>
        </w:rPr>
        <w:t xml:space="preserve"> reported small step-ups in filings over 2011-2017 (3-8 cases filed annually) and 2018-2021 (12-16 annually). See ACICA, ‘Reflections on the Last Decade of Activity at the Australian Centre for International Commercial Arbitration’ (</w:t>
      </w:r>
      <w:r w:rsidR="00FD202C" w:rsidRPr="0003060E">
        <w:rPr>
          <w:rFonts w:cstheme="minorHAnsi"/>
        </w:rPr>
        <w:t>2022)</w:t>
      </w:r>
      <w:r w:rsidR="00A002C7" w:rsidRPr="0003060E">
        <w:rPr>
          <w:rFonts w:cstheme="minorHAnsi"/>
        </w:rPr>
        <w:t xml:space="preserve"> &lt;</w:t>
      </w:r>
      <w:hyperlink r:id="rId1" w:history="1">
        <w:r w:rsidR="00A002C7" w:rsidRPr="0003060E">
          <w:rPr>
            <w:rStyle w:val="Hyperlink"/>
            <w:rFonts w:cstheme="minorHAnsi"/>
          </w:rPr>
          <w:t>https://acica.org.au/wp-content/uploads/2022/11/ACICA_Reflections-WFF1.pdf</w:t>
        </w:r>
      </w:hyperlink>
      <w:r w:rsidR="00A002C7" w:rsidRPr="0003060E">
        <w:rPr>
          <w:rFonts w:cstheme="minorHAnsi"/>
        </w:rPr>
        <w:t xml:space="preserve">&gt;, </w:t>
      </w:r>
      <w:r w:rsidR="00A002C7" w:rsidRPr="0003060E">
        <w:rPr>
          <w:rFonts w:cstheme="minorHAnsi"/>
          <w:lang w:val="en-GB"/>
        </w:rPr>
        <w:t>23.</w:t>
      </w:r>
    </w:p>
  </w:footnote>
  <w:footnote w:id="7">
    <w:p w14:paraId="5EC2E172" w14:textId="0A2FCA7E" w:rsidR="00C83FF9" w:rsidRPr="0003060E" w:rsidRDefault="00C83FF9">
      <w:pPr>
        <w:pStyle w:val="FootnoteText"/>
        <w:rPr>
          <w:rFonts w:cstheme="minorHAnsi"/>
        </w:rPr>
      </w:pPr>
      <w:r w:rsidRPr="0003060E">
        <w:rPr>
          <w:rStyle w:val="FootnoteReference"/>
          <w:rFonts w:cstheme="minorHAnsi"/>
        </w:rPr>
        <w:footnoteRef/>
      </w:r>
      <w:r w:rsidRPr="0003060E">
        <w:rPr>
          <w:rFonts w:cstheme="minorHAnsi"/>
        </w:rPr>
        <w:t xml:space="preserve"> </w:t>
      </w:r>
      <w:r w:rsidR="001E2976" w:rsidRPr="0003060E">
        <w:rPr>
          <w:rFonts w:cstheme="minorHAnsi"/>
        </w:rPr>
        <w:t xml:space="preserve">Mark Bezant and James Nicholson, ‘International Arbitration After the Pandemic’, </w:t>
      </w:r>
      <w:r w:rsidR="001E2976" w:rsidRPr="0003060E">
        <w:rPr>
          <w:rFonts w:cstheme="minorHAnsi"/>
          <w:i/>
          <w:iCs/>
        </w:rPr>
        <w:t>FTI Consulting</w:t>
      </w:r>
      <w:r w:rsidR="001E2976" w:rsidRPr="0003060E">
        <w:rPr>
          <w:rFonts w:cstheme="minorHAnsi"/>
        </w:rPr>
        <w:t xml:space="preserve"> &lt;</w:t>
      </w:r>
      <w:hyperlink r:id="rId2" w:history="1">
        <w:r w:rsidR="001E2976" w:rsidRPr="0003060E">
          <w:rPr>
            <w:rStyle w:val="Hyperlink"/>
            <w:rFonts w:cstheme="minorHAnsi"/>
          </w:rPr>
          <w:t>https://www.fticonsulting.com/insights/reports/international-arbitration-after-pandemic</w:t>
        </w:r>
      </w:hyperlink>
      <w:r w:rsidR="001E2976" w:rsidRPr="0003060E">
        <w:rPr>
          <w:rFonts w:cstheme="minorHAnsi"/>
        </w:rPr>
        <w:t>&gt;</w:t>
      </w:r>
      <w:r w:rsidR="00B17576" w:rsidRPr="0003060E">
        <w:rPr>
          <w:rFonts w:cstheme="minorHAnsi"/>
        </w:rPr>
        <w:t xml:space="preserve"> 7 (Table 1)</w:t>
      </w:r>
      <w:r w:rsidR="001E2976" w:rsidRPr="0003060E">
        <w:rPr>
          <w:rFonts w:cstheme="minorHAnsi"/>
        </w:rPr>
        <w:t>.</w:t>
      </w:r>
    </w:p>
  </w:footnote>
  <w:footnote w:id="8">
    <w:p w14:paraId="0549B76B" w14:textId="76227D85" w:rsidR="000623D8" w:rsidRPr="0003060E" w:rsidRDefault="000623D8">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F14F4A" w:rsidRPr="0003060E">
        <w:rPr>
          <w:rFonts w:cstheme="minorHAnsi"/>
          <w:lang w:val="en-US"/>
        </w:rPr>
        <w:t xml:space="preserve">Draft revisions </w:t>
      </w:r>
      <w:proofErr w:type="spellStart"/>
      <w:r w:rsidR="00F14F4A" w:rsidRPr="0003060E">
        <w:rPr>
          <w:rFonts w:cstheme="minorHAnsi"/>
          <w:lang w:val="en-US"/>
        </w:rPr>
        <w:t>publicised</w:t>
      </w:r>
      <w:proofErr w:type="spellEnd"/>
      <w:r w:rsidR="00F14F4A" w:rsidRPr="0003060E">
        <w:rPr>
          <w:rFonts w:cstheme="minorHAnsi"/>
          <w:lang w:val="en-US"/>
        </w:rPr>
        <w:t xml:space="preserve"> in 2021 will allow ad hoc arbitrations but only in foreign-related disputes</w:t>
      </w:r>
      <w:r w:rsidR="00B17576" w:rsidRPr="0003060E">
        <w:rPr>
          <w:rFonts w:cstheme="minorHAnsi"/>
          <w:lang w:val="en-US"/>
        </w:rPr>
        <w:t>. S</w:t>
      </w:r>
      <w:r w:rsidR="00F14F4A" w:rsidRPr="0003060E">
        <w:rPr>
          <w:rFonts w:cstheme="minorHAnsi"/>
          <w:lang w:val="en-US"/>
        </w:rPr>
        <w:t xml:space="preserve">ee Ming Liao, ‘The Turn to Fact or Fiction: Ad Hoc Arbitration in the Draft Amendment to PRC Arbitration Law’, </w:t>
      </w:r>
      <w:r w:rsidR="00F14F4A" w:rsidRPr="0003060E">
        <w:rPr>
          <w:rFonts w:cstheme="minorHAnsi"/>
          <w:i/>
          <w:iCs/>
          <w:lang w:val="en-US"/>
        </w:rPr>
        <w:t>Kluwer Arbitration Blog</w:t>
      </w:r>
      <w:r w:rsidR="00F14F4A" w:rsidRPr="0003060E">
        <w:rPr>
          <w:rFonts w:cstheme="minorHAnsi"/>
          <w:lang w:val="en-US"/>
        </w:rPr>
        <w:t xml:space="preserve"> (Blog Post, 24 October 2021) &lt;</w:t>
      </w:r>
      <w:hyperlink r:id="rId3" w:history="1">
        <w:r w:rsidR="00F14F4A" w:rsidRPr="0003060E">
          <w:rPr>
            <w:rStyle w:val="Hyperlink"/>
            <w:rFonts w:cstheme="minorHAnsi"/>
            <w:lang w:val="en-US"/>
          </w:rPr>
          <w:t>https://arbitrationblog.kluwerarbitration.com/2021/10/24/the-turn-to-fact-or-fiction-ad-hoc-arbitration-in-the-draft-amendment-to-prc-arbitration-law/</w:t>
        </w:r>
      </w:hyperlink>
      <w:r w:rsidR="00F14F4A" w:rsidRPr="0003060E">
        <w:rPr>
          <w:rFonts w:cstheme="minorHAnsi"/>
          <w:lang w:val="en-US"/>
        </w:rPr>
        <w:t>&gt;.</w:t>
      </w:r>
    </w:p>
  </w:footnote>
  <w:footnote w:id="9">
    <w:p w14:paraId="23F66E28" w14:textId="1DC92967" w:rsidR="000623D8" w:rsidRPr="0003060E" w:rsidRDefault="000623D8">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C957F3" w:rsidRPr="0003060E">
        <w:rPr>
          <w:rFonts w:cstheme="minorHAnsi"/>
          <w:lang w:val="en-US"/>
        </w:rPr>
        <w:t xml:space="preserve">Kun Fan, ‘Beyond Law and Politics: Judicial Mediation in China’ (2023) </w:t>
      </w:r>
      <w:r w:rsidR="00C957F3" w:rsidRPr="0003060E">
        <w:rPr>
          <w:rFonts w:cstheme="minorHAnsi"/>
          <w:i/>
          <w:iCs/>
          <w:lang w:val="en-US"/>
        </w:rPr>
        <w:t>Journal of International Dispute Settlement</w:t>
      </w:r>
      <w:r w:rsidR="00C957F3" w:rsidRPr="0003060E">
        <w:rPr>
          <w:rFonts w:cstheme="minorHAnsi"/>
          <w:lang w:val="en-US"/>
        </w:rPr>
        <w:t xml:space="preserve"> 1.</w:t>
      </w:r>
    </w:p>
  </w:footnote>
  <w:footnote w:id="10">
    <w:p w14:paraId="171BF01D" w14:textId="5D582151" w:rsidR="000623D8" w:rsidRPr="0003060E" w:rsidRDefault="000623D8">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C957F3" w:rsidRPr="0003060E">
        <w:rPr>
          <w:rFonts w:cstheme="minorHAnsi"/>
          <w:lang w:val="en-US"/>
        </w:rPr>
        <w:t xml:space="preserve">See ‘2022 </w:t>
      </w:r>
      <w:proofErr w:type="spellStart"/>
      <w:r w:rsidR="00C957F3" w:rsidRPr="0003060E">
        <w:rPr>
          <w:rFonts w:cstheme="minorHAnsi"/>
          <w:lang w:val="en-US"/>
        </w:rPr>
        <w:t>Stattistic</w:t>
      </w:r>
      <w:proofErr w:type="spellEnd"/>
      <w:r w:rsidR="00C957F3" w:rsidRPr="0003060E">
        <w:rPr>
          <w:rFonts w:cstheme="minorHAnsi"/>
          <w:lang w:val="en-US"/>
        </w:rPr>
        <w:t xml:space="preserve">’, </w:t>
      </w:r>
      <w:r w:rsidR="00C957F3" w:rsidRPr="0003060E">
        <w:rPr>
          <w:rFonts w:cstheme="minorHAnsi"/>
          <w:i/>
          <w:iCs/>
          <w:lang w:val="en-US"/>
        </w:rPr>
        <w:t>VIAC</w:t>
      </w:r>
      <w:r w:rsidR="00C957F3" w:rsidRPr="0003060E">
        <w:rPr>
          <w:rFonts w:cstheme="minorHAnsi"/>
          <w:lang w:val="en-US"/>
        </w:rPr>
        <w:t xml:space="preserve"> (Web Page) &lt;</w:t>
      </w:r>
      <w:hyperlink r:id="rId4" w:history="1">
        <w:r w:rsidR="00C957F3" w:rsidRPr="0003060E">
          <w:rPr>
            <w:rStyle w:val="Hyperlink"/>
            <w:rFonts w:cstheme="minorHAnsi"/>
            <w:lang w:val="en-US"/>
          </w:rPr>
          <w:t>https://www.viac.vn/en/statistics/2022-stattistic-s41.html</w:t>
        </w:r>
      </w:hyperlink>
      <w:r w:rsidR="00C957F3" w:rsidRPr="0003060E">
        <w:rPr>
          <w:rFonts w:cstheme="minorHAnsi"/>
          <w:lang w:val="en-US"/>
        </w:rPr>
        <w:t>&gt;.</w:t>
      </w:r>
    </w:p>
  </w:footnote>
  <w:footnote w:id="11">
    <w:p w14:paraId="47AC2FCB" w14:textId="0B85BF3B" w:rsidR="005126E0" w:rsidRPr="0003060E" w:rsidRDefault="005126E0">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531F07" w:rsidRPr="0003060E">
        <w:rPr>
          <w:rFonts w:cstheme="minorHAnsi"/>
        </w:rPr>
        <w:t xml:space="preserve">It recorded 9 international and 67 domestic arbitration filings in 2022. See </w:t>
      </w:r>
      <w:r w:rsidR="00C957F3" w:rsidRPr="0003060E">
        <w:rPr>
          <w:rFonts w:cstheme="minorHAnsi"/>
          <w:lang w:val="en-US"/>
        </w:rPr>
        <w:t xml:space="preserve">‘2022 Annual Report’, </w:t>
      </w:r>
      <w:r w:rsidR="00C957F3" w:rsidRPr="0003060E">
        <w:rPr>
          <w:rFonts w:cstheme="minorHAnsi"/>
          <w:i/>
          <w:iCs/>
          <w:lang w:val="en-US"/>
        </w:rPr>
        <w:t>AIAC</w:t>
      </w:r>
      <w:r w:rsidR="00C957F3" w:rsidRPr="0003060E">
        <w:rPr>
          <w:rFonts w:cstheme="minorHAnsi"/>
          <w:lang w:val="en-US"/>
        </w:rPr>
        <w:t xml:space="preserve"> (Report) &lt;</w:t>
      </w:r>
      <w:hyperlink r:id="rId5" w:history="1">
        <w:r w:rsidR="00C957F3" w:rsidRPr="0003060E">
          <w:rPr>
            <w:rStyle w:val="Hyperlink"/>
            <w:rFonts w:cstheme="minorHAnsi"/>
            <w:lang w:val="en-US"/>
          </w:rPr>
          <w:t>https://admin.aiac.world/uploads/ckupload/ckupload_20230501125726_30.pdf</w:t>
        </w:r>
      </w:hyperlink>
      <w:r w:rsidR="00C957F3" w:rsidRPr="0003060E">
        <w:rPr>
          <w:rFonts w:cstheme="minorHAnsi"/>
          <w:lang w:val="en-US"/>
        </w:rPr>
        <w:t>&gt;</w:t>
      </w:r>
      <w:r w:rsidR="00531F07" w:rsidRPr="0003060E">
        <w:rPr>
          <w:rFonts w:cstheme="minorHAnsi"/>
          <w:lang w:val="en-US"/>
        </w:rPr>
        <w:t xml:space="preserve"> 19</w:t>
      </w:r>
      <w:r w:rsidR="00C957F3" w:rsidRPr="0003060E">
        <w:rPr>
          <w:rFonts w:cstheme="minorHAnsi"/>
          <w:lang w:val="en-US"/>
        </w:rPr>
        <w:t>.</w:t>
      </w:r>
    </w:p>
  </w:footnote>
  <w:footnote w:id="12">
    <w:p w14:paraId="0492B44B" w14:textId="78F20031" w:rsidR="000623D8" w:rsidRPr="0003060E" w:rsidRDefault="000623D8">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C957F3" w:rsidRPr="0003060E">
        <w:rPr>
          <w:rFonts w:cstheme="minorHAnsi"/>
          <w:lang w:val="en-US"/>
        </w:rPr>
        <w:t xml:space="preserve">Joongi Kim, ‘Arbitration Reform in Korea: At the Threshold of a New Era’ in Anselmo Reyes and Weixia Gu (eds), </w:t>
      </w:r>
      <w:r w:rsidR="00C957F3" w:rsidRPr="0003060E">
        <w:rPr>
          <w:rFonts w:cstheme="minorHAnsi"/>
          <w:i/>
          <w:iCs/>
          <w:lang w:val="en-US"/>
        </w:rPr>
        <w:t>The Developing World of Arbitration: A Comparative Study of Arbitration Reform in the Asia Pacific</w:t>
      </w:r>
      <w:r w:rsidR="00C957F3" w:rsidRPr="0003060E">
        <w:rPr>
          <w:rFonts w:cstheme="minorHAnsi"/>
          <w:lang w:val="en-US"/>
        </w:rPr>
        <w:t xml:space="preserve"> (</w:t>
      </w:r>
      <w:r w:rsidR="003D30A5" w:rsidRPr="0003060E">
        <w:rPr>
          <w:rFonts w:cstheme="minorHAnsi"/>
          <w:lang w:val="en-US"/>
        </w:rPr>
        <w:t>Hart</w:t>
      </w:r>
      <w:r w:rsidR="00C957F3" w:rsidRPr="0003060E">
        <w:rPr>
          <w:rFonts w:cstheme="minorHAnsi"/>
          <w:lang w:val="en-US"/>
        </w:rPr>
        <w:t>, 2018) 109.</w:t>
      </w:r>
    </w:p>
  </w:footnote>
  <w:footnote w:id="13">
    <w:p w14:paraId="418FAE17" w14:textId="6A5BACCC" w:rsidR="005126E0" w:rsidRPr="0003060E" w:rsidRDefault="005126E0">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CD2555" w:rsidRPr="0003060E">
        <w:rPr>
          <w:rFonts w:cstheme="minorHAnsi"/>
        </w:rPr>
        <w:t xml:space="preserve">Anselmo Reyes and Weixia Gu, ‘Introduction: Towards a Model of Arbitration Reform in Asia Pacific’ in Anselmo Reyes and Weixia Gu (eds), </w:t>
      </w:r>
      <w:r w:rsidR="00CD2555" w:rsidRPr="0003060E">
        <w:rPr>
          <w:rFonts w:cstheme="minorHAnsi"/>
          <w:i/>
          <w:iCs/>
        </w:rPr>
        <w:t>The Developing World of Arbitration: A Comparative Study of Arbitration Reform in the Asia Pacific</w:t>
      </w:r>
      <w:r w:rsidR="00CD2555" w:rsidRPr="0003060E">
        <w:rPr>
          <w:rFonts w:cstheme="minorHAnsi"/>
        </w:rPr>
        <w:t xml:space="preserve"> (Hart Publishing, 2018) 1.</w:t>
      </w:r>
    </w:p>
  </w:footnote>
  <w:footnote w:id="14">
    <w:p w14:paraId="0F79C8F6" w14:textId="33344C48" w:rsidR="00BE423A" w:rsidRPr="0003060E" w:rsidRDefault="00BE423A">
      <w:pPr>
        <w:pStyle w:val="FootnoteText"/>
        <w:contextualSpacing/>
        <w:rPr>
          <w:rFonts w:cstheme="minorHAnsi"/>
          <w:lang w:val="en-US"/>
        </w:rPr>
      </w:pPr>
      <w:r w:rsidRPr="0003060E">
        <w:rPr>
          <w:rStyle w:val="FootnoteReference"/>
          <w:rFonts w:cstheme="minorHAnsi"/>
        </w:rPr>
        <w:footnoteRef/>
      </w:r>
      <w:r w:rsidRPr="0003060E">
        <w:rPr>
          <w:rFonts w:cstheme="minorHAnsi"/>
        </w:rPr>
        <w:t xml:space="preserve"> </w:t>
      </w:r>
      <w:r w:rsidR="00CD2555" w:rsidRPr="0003060E">
        <w:rPr>
          <w:rFonts w:cstheme="minorHAnsi"/>
        </w:rPr>
        <w:t xml:space="preserve">James </w:t>
      </w:r>
      <w:r w:rsidR="00CD2555" w:rsidRPr="0003060E">
        <w:rPr>
          <w:rFonts w:cstheme="minorHAnsi"/>
          <w:lang w:val="en-US"/>
        </w:rPr>
        <w:t xml:space="preserve">Claxton, Luke Nottage, and Nobumichi Teramura, ‘Developing Japan as a Regional Hub for International Dispute Resolution: </w:t>
      </w:r>
      <w:proofErr w:type="gramStart"/>
      <w:r w:rsidR="00CD2555" w:rsidRPr="0003060E">
        <w:rPr>
          <w:rFonts w:cstheme="minorHAnsi"/>
          <w:lang w:val="en-US"/>
        </w:rPr>
        <w:t>Dream</w:t>
      </w:r>
      <w:proofErr w:type="gramEnd"/>
      <w:r w:rsidR="00CD2555" w:rsidRPr="0003060E">
        <w:rPr>
          <w:rFonts w:cstheme="minorHAnsi"/>
          <w:lang w:val="en-US"/>
        </w:rPr>
        <w:t xml:space="preserve"> Come True or Daydream?’ (2019) 47(1) </w:t>
      </w:r>
      <w:r w:rsidR="00CD2555" w:rsidRPr="0003060E">
        <w:rPr>
          <w:rFonts w:cstheme="minorHAnsi"/>
          <w:i/>
          <w:iCs/>
          <w:lang w:val="en-US"/>
        </w:rPr>
        <w:t>Journal of Japanese Law</w:t>
      </w:r>
      <w:r w:rsidR="00CD2555" w:rsidRPr="0003060E">
        <w:rPr>
          <w:rFonts w:cstheme="minorHAnsi"/>
          <w:lang w:val="en-US"/>
        </w:rPr>
        <w:t xml:space="preserve"> 109.</w:t>
      </w:r>
    </w:p>
  </w:footnote>
  <w:footnote w:id="15">
    <w:p w14:paraId="2327C003" w14:textId="77AE17AD" w:rsidR="008B3619" w:rsidRPr="0003060E" w:rsidRDefault="008B3619" w:rsidP="00C575DB">
      <w:pPr>
        <w:rPr>
          <w:rFonts w:asciiTheme="minorHAnsi" w:hAnsiTheme="minorHAnsi" w:cstheme="minorHAnsi"/>
          <w:sz w:val="20"/>
          <w:szCs w:val="20"/>
        </w:rPr>
      </w:pPr>
      <w:r w:rsidRPr="0003060E">
        <w:rPr>
          <w:rStyle w:val="FootnoteReference"/>
          <w:rFonts w:asciiTheme="minorHAnsi" w:hAnsiTheme="minorHAnsi" w:cstheme="minorHAnsi"/>
          <w:sz w:val="20"/>
          <w:szCs w:val="20"/>
        </w:rPr>
        <w:footnoteRef/>
      </w:r>
      <w:r w:rsidRPr="0003060E">
        <w:rPr>
          <w:rFonts w:asciiTheme="minorHAnsi" w:hAnsiTheme="minorHAnsi" w:cstheme="minorHAnsi"/>
          <w:sz w:val="20"/>
          <w:szCs w:val="20"/>
        </w:rPr>
        <w:t xml:space="preserve"> </w:t>
      </w:r>
      <w:r w:rsidR="002B72AC" w:rsidRPr="0003060E">
        <w:rPr>
          <w:rFonts w:asciiTheme="minorHAnsi" w:hAnsiTheme="minorHAnsi" w:cstheme="minorHAnsi"/>
          <w:sz w:val="20"/>
          <w:szCs w:val="20"/>
        </w:rPr>
        <w:t xml:space="preserve">Philip McConnaughay, ‘Rethinking the Role of Law and Contracts in East-West Commercial Relationships’ (2001) 41(2) </w:t>
      </w:r>
      <w:r w:rsidR="002B72AC" w:rsidRPr="0003060E">
        <w:rPr>
          <w:rFonts w:asciiTheme="minorHAnsi" w:hAnsiTheme="minorHAnsi" w:cstheme="minorHAnsi"/>
          <w:i/>
          <w:iCs/>
          <w:sz w:val="20"/>
          <w:szCs w:val="20"/>
        </w:rPr>
        <w:t>Virginia Journal of International Law</w:t>
      </w:r>
      <w:r w:rsidR="002B72AC" w:rsidRPr="0003060E">
        <w:rPr>
          <w:rFonts w:asciiTheme="minorHAnsi" w:hAnsiTheme="minorHAnsi" w:cstheme="minorHAnsi"/>
          <w:sz w:val="20"/>
          <w:szCs w:val="20"/>
        </w:rPr>
        <w:t xml:space="preserve"> 427. </w:t>
      </w:r>
      <w:r w:rsidR="00531F07" w:rsidRPr="0003060E">
        <w:rPr>
          <w:rFonts w:asciiTheme="minorHAnsi" w:hAnsiTheme="minorHAnsi" w:cstheme="minorHAnsi"/>
          <w:sz w:val="20"/>
          <w:szCs w:val="20"/>
        </w:rPr>
        <w:t>Compare</w:t>
      </w:r>
      <w:r w:rsidR="002B72AC" w:rsidRPr="0003060E">
        <w:rPr>
          <w:rFonts w:asciiTheme="minorHAnsi" w:hAnsiTheme="minorHAnsi" w:cstheme="minorHAnsi"/>
          <w:sz w:val="20"/>
          <w:szCs w:val="20"/>
        </w:rPr>
        <w:t xml:space="preserve"> also, </w:t>
      </w:r>
      <w:proofErr w:type="spellStart"/>
      <w:r w:rsidR="002B72AC" w:rsidRPr="0003060E">
        <w:rPr>
          <w:rFonts w:asciiTheme="minorHAnsi" w:hAnsiTheme="minorHAnsi" w:cstheme="minorHAnsi"/>
          <w:sz w:val="20"/>
          <w:szCs w:val="20"/>
        </w:rPr>
        <w:t>eg</w:t>
      </w:r>
      <w:proofErr w:type="spellEnd"/>
      <w:r w:rsidR="002B72AC" w:rsidRPr="0003060E">
        <w:rPr>
          <w:rFonts w:asciiTheme="minorHAnsi" w:hAnsiTheme="minorHAnsi" w:cstheme="minorHAnsi"/>
          <w:sz w:val="20"/>
          <w:szCs w:val="20"/>
        </w:rPr>
        <w:t xml:space="preserve">, Eugene KB Tan, ‘Harmony as Ideology, Culture, and Control: Alternative Dispute Resolution in Singapore’ (2007) 9(1) </w:t>
      </w:r>
      <w:r w:rsidR="002B72AC" w:rsidRPr="0003060E">
        <w:rPr>
          <w:rFonts w:asciiTheme="minorHAnsi" w:hAnsiTheme="minorHAnsi" w:cstheme="minorHAnsi"/>
          <w:i/>
          <w:iCs/>
          <w:sz w:val="20"/>
          <w:szCs w:val="20"/>
        </w:rPr>
        <w:t>The Australian Journal of Asian Law</w:t>
      </w:r>
      <w:r w:rsidR="002B72AC" w:rsidRPr="0003060E">
        <w:rPr>
          <w:rFonts w:asciiTheme="minorHAnsi" w:hAnsiTheme="minorHAnsi" w:cstheme="minorHAnsi"/>
          <w:sz w:val="20"/>
          <w:szCs w:val="20"/>
        </w:rPr>
        <w:t xml:space="preserve"> 120.</w:t>
      </w:r>
    </w:p>
  </w:footnote>
  <w:footnote w:id="16">
    <w:p w14:paraId="6EE1F4C3" w14:textId="1DF7B600" w:rsidR="002E7AF7" w:rsidRPr="0003060E" w:rsidRDefault="002E7AF7">
      <w:pPr>
        <w:pStyle w:val="FootnoteText"/>
        <w:rPr>
          <w:rFonts w:cstheme="minorHAnsi"/>
        </w:rPr>
      </w:pPr>
      <w:r w:rsidRPr="0003060E">
        <w:rPr>
          <w:rStyle w:val="FootnoteReference"/>
          <w:rFonts w:cstheme="minorHAnsi"/>
        </w:rPr>
        <w:footnoteRef/>
      </w:r>
      <w:r w:rsidRPr="0003060E">
        <w:rPr>
          <w:rFonts w:cstheme="minorHAnsi"/>
        </w:rPr>
        <w:t xml:space="preserve"> </w:t>
      </w:r>
      <w:r w:rsidR="001E61C5" w:rsidRPr="0003060E">
        <w:rPr>
          <w:rFonts w:cstheme="minorHAnsi"/>
        </w:rPr>
        <w:t xml:space="preserve">Anselmo Reyes and Weixia Gu, ‘Introduction: Towards a Model of Arbitration Reform in Asia Pacific’ in Anselmo Reyes and Weixia Gu (eds), </w:t>
      </w:r>
      <w:r w:rsidR="001E61C5" w:rsidRPr="0003060E">
        <w:rPr>
          <w:rFonts w:cstheme="minorHAnsi"/>
          <w:i/>
          <w:iCs/>
        </w:rPr>
        <w:t>The Developing World of Arbitration: A Comparative Study of Arbitration Reform in the Asia Pacific</w:t>
      </w:r>
      <w:r w:rsidR="001E61C5" w:rsidRPr="0003060E">
        <w:rPr>
          <w:rFonts w:cstheme="minorHAnsi"/>
        </w:rPr>
        <w:t xml:space="preserve"> (Hart Publishing, 2018) 1.</w:t>
      </w:r>
    </w:p>
  </w:footnote>
  <w:footnote w:id="17">
    <w:p w14:paraId="55FB8152" w14:textId="3CBBB568" w:rsidR="00DD4ECB" w:rsidRPr="0003060E" w:rsidRDefault="00DD4ECB">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1472CC" w:rsidRPr="0003060E">
        <w:rPr>
          <w:rFonts w:cstheme="minorHAnsi"/>
        </w:rPr>
        <w:t xml:space="preserve">Gary F Bell (ed), </w:t>
      </w:r>
      <w:r w:rsidR="001472CC" w:rsidRPr="0003060E">
        <w:rPr>
          <w:rFonts w:cstheme="minorHAnsi"/>
          <w:i/>
          <w:iCs/>
        </w:rPr>
        <w:t>The UNCITRAL Model Law and Asian Arbitration Laws: Implementation and Comparisons</w:t>
      </w:r>
      <w:r w:rsidR="001472CC" w:rsidRPr="0003060E">
        <w:rPr>
          <w:rFonts w:cstheme="minorHAnsi"/>
        </w:rPr>
        <w:t xml:space="preserve"> (Cambridge University Press, 2018).</w:t>
      </w:r>
    </w:p>
  </w:footnote>
  <w:footnote w:id="18">
    <w:p w14:paraId="6D8342C7" w14:textId="2075DD2B" w:rsidR="002338D5" w:rsidRPr="0003060E" w:rsidRDefault="002338D5">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A158DF" w:rsidRPr="0003060E">
        <w:rPr>
          <w:rFonts w:cstheme="minorHAnsi"/>
        </w:rPr>
        <w:t xml:space="preserve">Luke Nottage, ‘Deference from National Courts to Tribunals on Issues of Procedure at the Post-Award Stage’ in Franco Ferrari and Friedrich Rosenfeld (eds), </w:t>
      </w:r>
      <w:r w:rsidR="00A158DF" w:rsidRPr="0003060E">
        <w:rPr>
          <w:rFonts w:cstheme="minorHAnsi"/>
          <w:i/>
          <w:iCs/>
        </w:rPr>
        <w:t>Deference in International Commercial Arbitration</w:t>
      </w:r>
      <w:r w:rsidR="00A158DF" w:rsidRPr="0003060E">
        <w:rPr>
          <w:rFonts w:cstheme="minorHAnsi"/>
        </w:rPr>
        <w:t xml:space="preserve"> (Wolters Kluwer, 2023) 141.</w:t>
      </w:r>
      <w:r w:rsidR="004F6A4F" w:rsidRPr="0003060E">
        <w:rPr>
          <w:rFonts w:cstheme="minorHAnsi"/>
        </w:rPr>
        <w:t xml:space="preserve"> </w:t>
      </w:r>
      <w:r w:rsidR="00A158DF" w:rsidRPr="0003060E">
        <w:rPr>
          <w:rFonts w:cstheme="minorHAnsi"/>
        </w:rPr>
        <w:t xml:space="preserve">See </w:t>
      </w:r>
      <w:r w:rsidR="00A158DF" w:rsidRPr="0003060E">
        <w:rPr>
          <w:rFonts w:cstheme="minorHAnsi"/>
          <w:lang w:val="en-US"/>
        </w:rPr>
        <w:t>also, more generally, Dean Lewis, ‘</w:t>
      </w:r>
      <w:r w:rsidR="00A158DF" w:rsidRPr="0003060E">
        <w:rPr>
          <w:rFonts w:cstheme="minorHAnsi"/>
          <w:i/>
          <w:iCs/>
          <w:lang w:val="en-US"/>
        </w:rPr>
        <w:t>The Interpretation and Uniformity of the UNCITRAL Model Law on International Commercial Arbitration: Focusing on Australia, Hong Kong and Singapore</w:t>
      </w:r>
      <w:r w:rsidR="00A158DF" w:rsidRPr="0003060E">
        <w:rPr>
          <w:rFonts w:cstheme="minorHAnsi"/>
          <w:lang w:val="en-US"/>
        </w:rPr>
        <w:t>’ (Kluwer Law International, 2016), reviewed at &lt;</w:t>
      </w:r>
      <w:hyperlink r:id="rId6" w:history="1">
        <w:r w:rsidR="00A158DF" w:rsidRPr="0003060E">
          <w:rPr>
            <w:rStyle w:val="Hyperlink"/>
            <w:rFonts w:cstheme="minorHAnsi"/>
            <w:lang w:val="en-US"/>
          </w:rPr>
          <w:t>https://japaneselaw.sydney.edu.au/2017/04/book-review-dean-lewis-the-interpretation-and-uniformity-of-the-uncitral-model-law-on-international-commercial-arbitration/</w:t>
        </w:r>
      </w:hyperlink>
      <w:r w:rsidR="00A158DF" w:rsidRPr="0003060E">
        <w:rPr>
          <w:rFonts w:cstheme="minorHAnsi"/>
          <w:lang w:val="en-US"/>
        </w:rPr>
        <w:t>&gt;.</w:t>
      </w:r>
    </w:p>
  </w:footnote>
  <w:footnote w:id="19">
    <w:p w14:paraId="4E1BB054" w14:textId="420BDD37" w:rsidR="00F51083" w:rsidRPr="0003060E" w:rsidRDefault="00F51083">
      <w:pPr>
        <w:pStyle w:val="FootnoteText"/>
        <w:rPr>
          <w:rFonts w:cstheme="minorHAnsi"/>
        </w:rPr>
      </w:pPr>
      <w:r w:rsidRPr="0003060E">
        <w:rPr>
          <w:rStyle w:val="FootnoteReference"/>
          <w:rFonts w:cstheme="minorHAnsi"/>
        </w:rPr>
        <w:footnoteRef/>
      </w:r>
      <w:r w:rsidRPr="0003060E">
        <w:rPr>
          <w:rFonts w:cstheme="minorHAnsi"/>
        </w:rPr>
        <w:t xml:space="preserve"> </w:t>
      </w:r>
      <w:r w:rsidR="00A158DF" w:rsidRPr="0003060E">
        <w:rPr>
          <w:rFonts w:cstheme="minorHAnsi"/>
        </w:rPr>
        <w:t xml:space="preserve">Hiro Aragaki, ‘Arbitration Reform in India: Challenges and Opportunities’ in Anselmo Reyes and Weixia Gu (eds), </w:t>
      </w:r>
      <w:r w:rsidR="00A158DF" w:rsidRPr="0003060E">
        <w:rPr>
          <w:rFonts w:cstheme="minorHAnsi"/>
          <w:i/>
          <w:iCs/>
        </w:rPr>
        <w:t>The Developing World of Arbitration: A Comparative Study of Arbitration Reform in the Asia Pacific</w:t>
      </w:r>
      <w:r w:rsidR="00A158DF" w:rsidRPr="0003060E">
        <w:rPr>
          <w:rFonts w:cstheme="minorHAnsi"/>
        </w:rPr>
        <w:t xml:space="preserve"> (Hart Publishing, 2018) 221.</w:t>
      </w:r>
    </w:p>
  </w:footnote>
  <w:footnote w:id="20">
    <w:p w14:paraId="51CB62D7" w14:textId="1EF2AD2F" w:rsidR="002338D5" w:rsidRPr="0003060E" w:rsidRDefault="002338D5">
      <w:pPr>
        <w:pStyle w:val="FootnoteText"/>
        <w:rPr>
          <w:rFonts w:cstheme="minorHAnsi"/>
          <w:lang w:val="en-US"/>
        </w:rPr>
      </w:pPr>
      <w:r w:rsidRPr="0003060E">
        <w:rPr>
          <w:rStyle w:val="FootnoteReference"/>
          <w:rFonts w:cstheme="minorHAnsi"/>
        </w:rPr>
        <w:footnoteRef/>
      </w:r>
      <w:r w:rsidRPr="0003060E">
        <w:rPr>
          <w:rFonts w:cstheme="minorHAnsi"/>
        </w:rPr>
        <w:t xml:space="preserve"> </w:t>
      </w:r>
      <w:proofErr w:type="spellStart"/>
      <w:r w:rsidR="00320BA5" w:rsidRPr="0003060E">
        <w:rPr>
          <w:rFonts w:cstheme="minorHAnsi"/>
        </w:rPr>
        <w:t>Subhiksh</w:t>
      </w:r>
      <w:proofErr w:type="spellEnd"/>
      <w:r w:rsidR="00320BA5" w:rsidRPr="0003060E">
        <w:rPr>
          <w:rFonts w:cstheme="minorHAnsi"/>
        </w:rPr>
        <w:t xml:space="preserve"> Vasudev, ‘The 2019 amendment to the Indian Arbitration Act: A classic case of one step forward two steps backward?’, Kluwer Arbitration Blog (Blog Post, 25 August 2019) &lt;</w:t>
      </w:r>
      <w:hyperlink r:id="rId7" w:history="1">
        <w:r w:rsidR="00320BA5" w:rsidRPr="0003060E">
          <w:rPr>
            <w:rStyle w:val="Hyperlink"/>
            <w:rFonts w:cstheme="minorHAnsi"/>
          </w:rPr>
          <w:t>https://arbitrationblog.kluwerarbitration.com/2019/08/25/the-2019-amendment-to-the-indian-arbitration-act-a-classic-case-of-one-step-forward-two-steps-backward/</w:t>
        </w:r>
      </w:hyperlink>
      <w:r w:rsidR="00320BA5" w:rsidRPr="0003060E">
        <w:rPr>
          <w:rFonts w:cstheme="minorHAnsi"/>
        </w:rPr>
        <w:t xml:space="preserve">&gt;. </w:t>
      </w:r>
      <w:r w:rsidR="00320BA5" w:rsidRPr="0003060E">
        <w:rPr>
          <w:rFonts w:cstheme="minorHAnsi"/>
          <w:lang w:val="en-US"/>
        </w:rPr>
        <w:t xml:space="preserve">Compare, </w:t>
      </w:r>
      <w:proofErr w:type="spellStart"/>
      <w:r w:rsidR="00320BA5" w:rsidRPr="0003060E">
        <w:rPr>
          <w:rFonts w:cstheme="minorHAnsi"/>
          <w:lang w:val="en-US"/>
        </w:rPr>
        <w:t>eg</w:t>
      </w:r>
      <w:proofErr w:type="spellEnd"/>
      <w:r w:rsidR="00320BA5" w:rsidRPr="0003060E">
        <w:rPr>
          <w:rFonts w:cstheme="minorHAnsi"/>
          <w:lang w:val="en-US"/>
        </w:rPr>
        <w:t xml:space="preserve">, regarding some earlier Australian developments, Albert </w:t>
      </w:r>
      <w:proofErr w:type="spellStart"/>
      <w:r w:rsidR="00320BA5" w:rsidRPr="0003060E">
        <w:rPr>
          <w:rFonts w:cstheme="minorHAnsi"/>
          <w:lang w:val="en-US"/>
        </w:rPr>
        <w:t>Monichino</w:t>
      </w:r>
      <w:proofErr w:type="spellEnd"/>
      <w:r w:rsidR="00320BA5" w:rsidRPr="0003060E">
        <w:rPr>
          <w:rFonts w:cstheme="minorHAnsi"/>
          <w:lang w:val="en-US"/>
        </w:rPr>
        <w:t>, ‘Arbitration Downunder - Two Steps Forward, One Step Back’ (2016)</w:t>
      </w:r>
      <w:r w:rsidR="00320BA5" w:rsidRPr="0003060E">
        <w:rPr>
          <w:rFonts w:cstheme="minorHAnsi"/>
        </w:rPr>
        <w:t xml:space="preserve"> </w:t>
      </w:r>
      <w:r w:rsidR="00320BA5" w:rsidRPr="0003060E">
        <w:rPr>
          <w:rFonts w:cstheme="minorHAnsi"/>
          <w:lang w:val="en-US"/>
        </w:rPr>
        <w:t xml:space="preserve">169(1) </w:t>
      </w:r>
      <w:r w:rsidR="00320BA5" w:rsidRPr="0003060E">
        <w:rPr>
          <w:rFonts w:cstheme="minorHAnsi"/>
          <w:i/>
          <w:iCs/>
          <w:lang w:val="en-US"/>
        </w:rPr>
        <w:t>Australian Construction Law Newsletter</w:t>
      </w:r>
      <w:r w:rsidR="00320BA5" w:rsidRPr="0003060E">
        <w:rPr>
          <w:rFonts w:cstheme="minorHAnsi"/>
          <w:lang w:val="en-US"/>
        </w:rPr>
        <w:t xml:space="preserve"> 28.</w:t>
      </w:r>
    </w:p>
  </w:footnote>
  <w:footnote w:id="21">
    <w:p w14:paraId="10923B87" w14:textId="3E6815B6" w:rsidR="00F51083" w:rsidRPr="0003060E" w:rsidRDefault="00F51083">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056D16" w:rsidRPr="0003060E">
        <w:rPr>
          <w:rFonts w:cstheme="minorHAnsi"/>
          <w:lang w:val="en-US"/>
        </w:rPr>
        <w:t>Such as Arbitration or ADR weeks, even recently in India:</w:t>
      </w:r>
      <w:r w:rsidR="00531F07" w:rsidRPr="0003060E">
        <w:rPr>
          <w:rFonts w:cstheme="minorHAnsi"/>
          <w:lang w:val="en-US"/>
        </w:rPr>
        <w:t xml:space="preserve"> see</w:t>
      </w:r>
      <w:r w:rsidR="00BD4021" w:rsidRPr="0003060E">
        <w:rPr>
          <w:rFonts w:cstheme="minorHAnsi"/>
          <w:lang w:val="en-US"/>
        </w:rPr>
        <w:t xml:space="preserve"> </w:t>
      </w:r>
      <w:r w:rsidR="008063BA" w:rsidRPr="0003060E">
        <w:rPr>
          <w:rFonts w:cstheme="minorHAnsi"/>
          <w:lang w:val="en-US"/>
        </w:rPr>
        <w:t>‘</w:t>
      </w:r>
      <w:r w:rsidR="00BD4021" w:rsidRPr="0003060E">
        <w:rPr>
          <w:rFonts w:cstheme="minorHAnsi"/>
          <w:lang w:val="en-US"/>
        </w:rPr>
        <w:t>India ADR Week 2023</w:t>
      </w:r>
      <w:r w:rsidR="008063BA" w:rsidRPr="0003060E">
        <w:rPr>
          <w:rFonts w:cstheme="minorHAnsi"/>
          <w:lang w:val="en-US"/>
        </w:rPr>
        <w:t>’</w:t>
      </w:r>
      <w:r w:rsidR="00BD4021" w:rsidRPr="0003060E">
        <w:rPr>
          <w:rFonts w:cstheme="minorHAnsi"/>
          <w:lang w:val="en-US"/>
        </w:rPr>
        <w:t>,</w:t>
      </w:r>
      <w:r w:rsidR="00045A8C" w:rsidRPr="0003060E">
        <w:rPr>
          <w:rFonts w:cstheme="minorHAnsi"/>
          <w:lang w:val="en-US"/>
        </w:rPr>
        <w:t xml:space="preserve"> </w:t>
      </w:r>
      <w:r w:rsidR="00045A8C" w:rsidRPr="0003060E">
        <w:rPr>
          <w:rFonts w:cstheme="minorHAnsi"/>
          <w:i/>
          <w:iCs/>
          <w:lang w:val="en-US"/>
        </w:rPr>
        <w:t>India ADR Week 2023</w:t>
      </w:r>
      <w:r w:rsidR="00622E06" w:rsidRPr="0003060E">
        <w:rPr>
          <w:rFonts w:cstheme="minorHAnsi"/>
          <w:lang w:val="en-US"/>
        </w:rPr>
        <w:t xml:space="preserve"> (Web Page) &lt;</w:t>
      </w:r>
      <w:hyperlink r:id="rId8" w:history="1">
        <w:r w:rsidR="00622E06" w:rsidRPr="0003060E">
          <w:rPr>
            <w:rStyle w:val="Hyperlink"/>
            <w:rFonts w:cstheme="minorHAnsi"/>
            <w:lang w:val="en-US"/>
          </w:rPr>
          <w:t>https://www.adrweek.in/</w:t>
        </w:r>
      </w:hyperlink>
      <w:r w:rsidR="00622E06" w:rsidRPr="0003060E">
        <w:rPr>
          <w:rFonts w:cstheme="minorHAnsi"/>
          <w:lang w:val="en-US"/>
        </w:rPr>
        <w:t>&gt;.</w:t>
      </w:r>
      <w:r w:rsidR="00056D16" w:rsidRPr="0003060E">
        <w:rPr>
          <w:rFonts w:cstheme="minorHAnsi"/>
          <w:lang w:val="en-US"/>
        </w:rPr>
        <w:t xml:space="preserve"> </w:t>
      </w:r>
      <w:r w:rsidRPr="0003060E">
        <w:rPr>
          <w:rFonts w:cstheme="minorHAnsi"/>
          <w:lang w:val="en-US"/>
        </w:rPr>
        <w:t xml:space="preserve"> </w:t>
      </w:r>
    </w:p>
  </w:footnote>
  <w:footnote w:id="22">
    <w:p w14:paraId="2FAE0D8E" w14:textId="3127F5D0" w:rsidR="00F51083" w:rsidRPr="0003060E" w:rsidRDefault="00F51083">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6E6FFA" w:rsidRPr="0003060E">
        <w:rPr>
          <w:rFonts w:cstheme="minorHAnsi"/>
        </w:rPr>
        <w:t xml:space="preserve">Yves </w:t>
      </w:r>
      <w:proofErr w:type="spellStart"/>
      <w:r w:rsidRPr="0003060E">
        <w:rPr>
          <w:rFonts w:cstheme="minorHAnsi"/>
        </w:rPr>
        <w:t>Dezalay</w:t>
      </w:r>
      <w:proofErr w:type="spellEnd"/>
      <w:r w:rsidRPr="0003060E">
        <w:rPr>
          <w:rFonts w:cstheme="minorHAnsi"/>
        </w:rPr>
        <w:t xml:space="preserve"> and</w:t>
      </w:r>
      <w:r w:rsidR="006E6FFA" w:rsidRPr="0003060E">
        <w:rPr>
          <w:rFonts w:cstheme="minorHAnsi"/>
        </w:rPr>
        <w:t xml:space="preserve"> Byrant</w:t>
      </w:r>
      <w:r w:rsidRPr="0003060E">
        <w:rPr>
          <w:rFonts w:cstheme="minorHAnsi"/>
        </w:rPr>
        <w:t xml:space="preserve"> Garth</w:t>
      </w:r>
      <w:r w:rsidR="00E04E31" w:rsidRPr="0003060E">
        <w:rPr>
          <w:rFonts w:cstheme="minorHAnsi"/>
        </w:rPr>
        <w:t xml:space="preserve">, </w:t>
      </w:r>
      <w:r w:rsidR="00E04E31" w:rsidRPr="0003060E">
        <w:rPr>
          <w:rFonts w:cstheme="minorHAnsi"/>
          <w:i/>
          <w:iCs/>
        </w:rPr>
        <w:t xml:space="preserve">Dealing in Virtue: International Commercial Arbitration and the </w:t>
      </w:r>
      <w:r w:rsidR="00323E5D" w:rsidRPr="0003060E">
        <w:rPr>
          <w:rFonts w:cstheme="minorHAnsi"/>
          <w:i/>
          <w:iCs/>
        </w:rPr>
        <w:t>Construction of a Transnational Legal Order</w:t>
      </w:r>
      <w:r w:rsidR="00D5087E" w:rsidRPr="0003060E">
        <w:rPr>
          <w:rFonts w:cstheme="minorHAnsi"/>
        </w:rPr>
        <w:t xml:space="preserve"> (</w:t>
      </w:r>
      <w:r w:rsidR="00E445B4" w:rsidRPr="0003060E">
        <w:rPr>
          <w:rFonts w:cstheme="minorHAnsi"/>
        </w:rPr>
        <w:t xml:space="preserve">University of Chicago Press, </w:t>
      </w:r>
      <w:r w:rsidRPr="0003060E">
        <w:rPr>
          <w:rFonts w:cstheme="minorHAnsi"/>
          <w:lang w:val="en-US"/>
        </w:rPr>
        <w:t>1996</w:t>
      </w:r>
      <w:r w:rsidR="00E445B4" w:rsidRPr="0003060E">
        <w:rPr>
          <w:rFonts w:cstheme="minorHAnsi"/>
          <w:lang w:val="en-US"/>
        </w:rPr>
        <w:t>)</w:t>
      </w:r>
      <w:r w:rsidR="009B3BBA" w:rsidRPr="0003060E">
        <w:rPr>
          <w:rFonts w:cstheme="minorHAnsi"/>
          <w:lang w:val="en-US"/>
        </w:rPr>
        <w:t>.</w:t>
      </w:r>
    </w:p>
  </w:footnote>
  <w:footnote w:id="23">
    <w:p w14:paraId="518DA980" w14:textId="6134B22B" w:rsidR="00930BB2" w:rsidRPr="0003060E" w:rsidRDefault="00930BB2">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Notably China, see</w:t>
      </w:r>
      <w:r w:rsidR="007F558C" w:rsidRPr="0003060E">
        <w:rPr>
          <w:rFonts w:cstheme="minorHAnsi"/>
          <w:lang w:val="en-US"/>
        </w:rPr>
        <w:t>,</w:t>
      </w:r>
      <w:r w:rsidRPr="0003060E">
        <w:rPr>
          <w:rFonts w:cstheme="minorHAnsi"/>
          <w:lang w:val="en-US"/>
        </w:rPr>
        <w:t xml:space="preserve"> </w:t>
      </w:r>
      <w:proofErr w:type="spellStart"/>
      <w:r w:rsidRPr="0003060E">
        <w:rPr>
          <w:rFonts w:cstheme="minorHAnsi"/>
          <w:lang w:val="en-US"/>
        </w:rPr>
        <w:t>e</w:t>
      </w:r>
      <w:r w:rsidR="00056D16" w:rsidRPr="0003060E">
        <w:rPr>
          <w:rFonts w:cstheme="minorHAnsi"/>
          <w:lang w:val="en-US"/>
        </w:rPr>
        <w:t>g</w:t>
      </w:r>
      <w:proofErr w:type="spellEnd"/>
      <w:r w:rsidR="007F558C" w:rsidRPr="0003060E">
        <w:rPr>
          <w:rFonts w:cstheme="minorHAnsi"/>
          <w:lang w:val="en-US"/>
        </w:rPr>
        <w:t>,</w:t>
      </w:r>
      <w:r w:rsidR="00056D16" w:rsidRPr="0003060E">
        <w:rPr>
          <w:rFonts w:cstheme="minorHAnsi"/>
          <w:lang w:val="en-US"/>
        </w:rPr>
        <w:t xml:space="preserve"> </w:t>
      </w:r>
      <w:r w:rsidR="000C0400" w:rsidRPr="0003060E">
        <w:rPr>
          <w:rFonts w:cstheme="minorHAnsi"/>
          <w:lang w:val="en-US"/>
        </w:rPr>
        <w:t>Matteo Vaccaro-Incisa</w:t>
      </w:r>
      <w:r w:rsidR="00B45DF0" w:rsidRPr="0003060E">
        <w:rPr>
          <w:rFonts w:cstheme="minorHAnsi"/>
          <w:lang w:val="en-US"/>
        </w:rPr>
        <w:t xml:space="preserve">, </w:t>
      </w:r>
      <w:r w:rsidR="009546DF" w:rsidRPr="0003060E">
        <w:rPr>
          <w:rFonts w:cstheme="minorHAnsi"/>
          <w:i/>
          <w:iCs/>
          <w:lang w:val="en-US"/>
        </w:rPr>
        <w:t xml:space="preserve">China’s Treaty Policy and Practice in International Investment Law and Arbitration </w:t>
      </w:r>
      <w:r w:rsidR="00463837" w:rsidRPr="0003060E">
        <w:rPr>
          <w:rFonts w:cstheme="minorHAnsi"/>
          <w:lang w:val="en-US"/>
        </w:rPr>
        <w:t>(</w:t>
      </w:r>
      <w:r w:rsidR="00B14AC6" w:rsidRPr="0003060E">
        <w:rPr>
          <w:rFonts w:cstheme="minorHAnsi"/>
          <w:lang w:val="en-US"/>
        </w:rPr>
        <w:t>Bril</w:t>
      </w:r>
      <w:r w:rsidR="006211E2" w:rsidRPr="0003060E">
        <w:rPr>
          <w:rFonts w:cstheme="minorHAnsi"/>
          <w:lang w:val="en-US"/>
        </w:rPr>
        <w:t>l</w:t>
      </w:r>
      <w:r w:rsidR="00E05D17" w:rsidRPr="0003060E">
        <w:rPr>
          <w:rFonts w:cstheme="minorHAnsi"/>
          <w:lang w:val="en-US"/>
        </w:rPr>
        <w:t xml:space="preserve"> | </w:t>
      </w:r>
      <w:proofErr w:type="spellStart"/>
      <w:r w:rsidR="00E05D17" w:rsidRPr="0003060E">
        <w:rPr>
          <w:rFonts w:cstheme="minorHAnsi"/>
          <w:lang w:val="en-US"/>
        </w:rPr>
        <w:t>Nijhoff</w:t>
      </w:r>
      <w:proofErr w:type="spellEnd"/>
      <w:r w:rsidR="006211E2" w:rsidRPr="0003060E">
        <w:rPr>
          <w:rFonts w:cstheme="minorHAnsi"/>
          <w:lang w:val="en-US"/>
        </w:rPr>
        <w:t>,</w:t>
      </w:r>
      <w:r w:rsidR="00B14AC6" w:rsidRPr="0003060E">
        <w:rPr>
          <w:rFonts w:cstheme="minorHAnsi"/>
        </w:rPr>
        <w:t xml:space="preserve"> </w:t>
      </w:r>
      <w:r w:rsidR="00CF2BB0" w:rsidRPr="0003060E">
        <w:rPr>
          <w:rFonts w:cstheme="minorHAnsi"/>
        </w:rPr>
        <w:t>2021</w:t>
      </w:r>
      <w:r w:rsidR="00463837" w:rsidRPr="0003060E">
        <w:rPr>
          <w:rFonts w:cstheme="minorHAnsi"/>
          <w:lang w:val="en-US"/>
        </w:rPr>
        <w:t>)</w:t>
      </w:r>
      <w:r w:rsidR="00834AA2" w:rsidRPr="0003060E">
        <w:rPr>
          <w:rFonts w:cstheme="minorHAnsi"/>
          <w:lang w:val="en-US"/>
        </w:rPr>
        <w:t xml:space="preserve">. </w:t>
      </w:r>
    </w:p>
  </w:footnote>
  <w:footnote w:id="24">
    <w:p w14:paraId="424170A0" w14:textId="4EF8F9F8" w:rsidR="009300F1" w:rsidRPr="0003060E" w:rsidRDefault="009300F1">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695D7E" w:rsidRPr="0003060E">
        <w:rPr>
          <w:rFonts w:cstheme="minorHAnsi"/>
        </w:rPr>
        <w:t>‘Database of ICSID Member States’</w:t>
      </w:r>
      <w:r w:rsidR="00071039" w:rsidRPr="0003060E">
        <w:rPr>
          <w:rFonts w:cstheme="minorHAnsi"/>
        </w:rPr>
        <w:t xml:space="preserve">, </w:t>
      </w:r>
      <w:r w:rsidR="00071039" w:rsidRPr="0003060E">
        <w:rPr>
          <w:rFonts w:cstheme="minorHAnsi"/>
          <w:i/>
          <w:iCs/>
        </w:rPr>
        <w:t>International Centre for Settlement of Investment Disputes</w:t>
      </w:r>
      <w:r w:rsidR="00E16FDE" w:rsidRPr="0003060E">
        <w:rPr>
          <w:rFonts w:cstheme="minorHAnsi"/>
          <w:i/>
          <w:iCs/>
        </w:rPr>
        <w:t xml:space="preserve"> </w:t>
      </w:r>
      <w:r w:rsidR="00E16FDE" w:rsidRPr="0003060E">
        <w:rPr>
          <w:rFonts w:cstheme="minorHAnsi"/>
        </w:rPr>
        <w:t>(Web Page)</w:t>
      </w:r>
      <w:r w:rsidR="00071039" w:rsidRPr="0003060E">
        <w:rPr>
          <w:rFonts w:cstheme="minorHAnsi"/>
        </w:rPr>
        <w:t xml:space="preserve"> </w:t>
      </w:r>
      <w:r w:rsidR="00445E66" w:rsidRPr="0003060E">
        <w:rPr>
          <w:rFonts w:cstheme="minorHAnsi"/>
        </w:rPr>
        <w:t>&lt;</w:t>
      </w:r>
      <w:hyperlink r:id="rId9" w:history="1">
        <w:r w:rsidR="00445E66" w:rsidRPr="0003060E">
          <w:rPr>
            <w:rStyle w:val="Hyperlink"/>
            <w:rFonts w:cstheme="minorHAnsi"/>
          </w:rPr>
          <w:t>https://icsid.worldbank.org/about/member-states/database-of-member-states</w:t>
        </w:r>
      </w:hyperlink>
      <w:r w:rsidR="00445E66" w:rsidRPr="0003060E">
        <w:rPr>
          <w:rFonts w:cstheme="minorHAnsi"/>
        </w:rPr>
        <w:t>&gt;.</w:t>
      </w:r>
      <w:r w:rsidR="00056D16" w:rsidRPr="0003060E">
        <w:rPr>
          <w:rFonts w:cstheme="minorHAnsi"/>
        </w:rPr>
        <w:t xml:space="preserve"> </w:t>
      </w:r>
    </w:p>
  </w:footnote>
  <w:footnote w:id="25">
    <w:p w14:paraId="442DB3D5" w14:textId="7EB410F0" w:rsidR="00930BB2" w:rsidRPr="0003060E" w:rsidRDefault="00930BB2">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EC18EB" w:rsidRPr="0003060E">
        <w:rPr>
          <w:rFonts w:cstheme="minorHAnsi"/>
        </w:rPr>
        <w:t>‘Investment Dispute Settlement Navigator’</w:t>
      </w:r>
      <w:r w:rsidR="00EA4AEF" w:rsidRPr="0003060E">
        <w:rPr>
          <w:rFonts w:cstheme="minorHAnsi"/>
        </w:rPr>
        <w:t xml:space="preserve">, </w:t>
      </w:r>
      <w:r w:rsidR="00EA4AEF" w:rsidRPr="0003060E">
        <w:rPr>
          <w:rFonts w:cstheme="minorHAnsi"/>
          <w:i/>
          <w:iCs/>
        </w:rPr>
        <w:t>United Nations Conference on Trade and Development</w:t>
      </w:r>
      <w:r w:rsidR="00EA4AEF" w:rsidRPr="0003060E">
        <w:rPr>
          <w:rFonts w:cstheme="minorHAnsi"/>
        </w:rPr>
        <w:t xml:space="preserve"> (Web Page, 31 December 2021)</w:t>
      </w:r>
      <w:r w:rsidR="002B18CE" w:rsidRPr="0003060E">
        <w:rPr>
          <w:rFonts w:cstheme="minorHAnsi"/>
        </w:rPr>
        <w:t xml:space="preserve"> </w:t>
      </w:r>
      <w:r w:rsidR="00BE6539" w:rsidRPr="0003060E">
        <w:rPr>
          <w:rFonts w:cstheme="minorHAnsi"/>
        </w:rPr>
        <w:t>&lt;</w:t>
      </w:r>
      <w:hyperlink r:id="rId10" w:history="1">
        <w:r w:rsidR="00BE6539" w:rsidRPr="0003060E">
          <w:rPr>
            <w:rStyle w:val="Hyperlink"/>
            <w:rFonts w:cstheme="minorHAnsi"/>
          </w:rPr>
          <w:t>https://investmentpolicy.unctad.org/investment-dispute-settlement</w:t>
        </w:r>
      </w:hyperlink>
      <w:r w:rsidR="00BE6539" w:rsidRPr="0003060E">
        <w:rPr>
          <w:rFonts w:cstheme="minorHAnsi"/>
        </w:rPr>
        <w:t>&gt;</w:t>
      </w:r>
      <w:r w:rsidR="00612157" w:rsidRPr="0003060E">
        <w:rPr>
          <w:rFonts w:cstheme="minorHAnsi"/>
        </w:rPr>
        <w:t>.</w:t>
      </w:r>
      <w:r w:rsidR="002B18CE" w:rsidRPr="0003060E">
        <w:rPr>
          <w:rFonts w:cstheme="minorHAnsi"/>
        </w:rPr>
        <w:t xml:space="preserve"> </w:t>
      </w:r>
    </w:p>
  </w:footnote>
  <w:footnote w:id="26">
    <w:p w14:paraId="41BDCD64" w14:textId="53DDA4A2" w:rsidR="00930BB2" w:rsidRPr="0003060E" w:rsidRDefault="00930BB2">
      <w:pPr>
        <w:pStyle w:val="FootnoteText"/>
        <w:rPr>
          <w:rFonts w:cstheme="minorHAnsi"/>
        </w:rPr>
      </w:pPr>
      <w:r w:rsidRPr="0003060E">
        <w:rPr>
          <w:rStyle w:val="FootnoteReference"/>
          <w:rFonts w:cstheme="minorHAnsi"/>
        </w:rPr>
        <w:footnoteRef/>
      </w:r>
      <w:r w:rsidRPr="0003060E">
        <w:rPr>
          <w:rFonts w:cstheme="minorHAnsi"/>
        </w:rPr>
        <w:t xml:space="preserve"> </w:t>
      </w:r>
      <w:r w:rsidR="0041151E" w:rsidRPr="0003060E">
        <w:rPr>
          <w:rFonts w:cstheme="minorHAnsi"/>
        </w:rPr>
        <w:t xml:space="preserve">Luke Nottage and Romesh Weeramantry, ‘Investment Arbitration in Asia: Five Perspectives on Law and Practice’ (2012) 28(1) </w:t>
      </w:r>
      <w:r w:rsidR="0041151E" w:rsidRPr="0003060E">
        <w:rPr>
          <w:rFonts w:cstheme="minorHAnsi"/>
          <w:i/>
          <w:iCs/>
        </w:rPr>
        <w:t>Arbitration International</w:t>
      </w:r>
      <w:r w:rsidR="0041151E" w:rsidRPr="0003060E">
        <w:rPr>
          <w:rFonts w:cstheme="minorHAnsi"/>
        </w:rPr>
        <w:t xml:space="preserve"> 19.</w:t>
      </w:r>
    </w:p>
  </w:footnote>
  <w:footnote w:id="27">
    <w:p w14:paraId="0E5D3750" w14:textId="1BB24CE7" w:rsidR="00930BB2" w:rsidRPr="0003060E" w:rsidRDefault="00930BB2" w:rsidP="00E02986">
      <w:pPr>
        <w:pStyle w:val="FootnoteText"/>
        <w:rPr>
          <w:rFonts w:cstheme="minorHAnsi"/>
        </w:rPr>
      </w:pPr>
      <w:r w:rsidRPr="0003060E">
        <w:rPr>
          <w:rStyle w:val="FootnoteReference"/>
          <w:rFonts w:cstheme="minorHAnsi"/>
        </w:rPr>
        <w:footnoteRef/>
      </w:r>
      <w:r w:rsidR="007F00B4" w:rsidRPr="0003060E">
        <w:rPr>
          <w:rFonts w:cstheme="minorHAnsi"/>
        </w:rPr>
        <w:t xml:space="preserve"> </w:t>
      </w:r>
      <w:r w:rsidR="004F6A4F" w:rsidRPr="0003060E">
        <w:rPr>
          <w:rFonts w:cstheme="minorHAnsi"/>
        </w:rPr>
        <w:t xml:space="preserve">See, </w:t>
      </w:r>
      <w:proofErr w:type="spellStart"/>
      <w:r w:rsidR="004F6A4F" w:rsidRPr="0003060E">
        <w:rPr>
          <w:rFonts w:cstheme="minorHAnsi"/>
        </w:rPr>
        <w:t>eg</w:t>
      </w:r>
      <w:proofErr w:type="spellEnd"/>
      <w:r w:rsidR="004F6A4F" w:rsidRPr="0003060E">
        <w:rPr>
          <w:rFonts w:cstheme="minorHAnsi"/>
        </w:rPr>
        <w:t xml:space="preserve">, </w:t>
      </w:r>
      <w:r w:rsidR="00D47ECC" w:rsidRPr="0003060E">
        <w:rPr>
          <w:rFonts w:cstheme="minorHAnsi"/>
        </w:rPr>
        <w:t>‘</w:t>
      </w:r>
      <w:r w:rsidR="00B03D89" w:rsidRPr="0003060E">
        <w:rPr>
          <w:rFonts w:cstheme="minorHAnsi"/>
        </w:rPr>
        <w:t>Foreign Investment Ombudsman</w:t>
      </w:r>
      <w:r w:rsidR="00D47ECC" w:rsidRPr="0003060E">
        <w:rPr>
          <w:rFonts w:cstheme="minorHAnsi"/>
        </w:rPr>
        <w:t>’</w:t>
      </w:r>
      <w:r w:rsidR="00B03D89" w:rsidRPr="0003060E">
        <w:rPr>
          <w:rFonts w:cstheme="minorHAnsi"/>
        </w:rPr>
        <w:t xml:space="preserve">, </w:t>
      </w:r>
      <w:r w:rsidR="00B03D89" w:rsidRPr="0003060E">
        <w:rPr>
          <w:rFonts w:cstheme="minorHAnsi"/>
          <w:i/>
          <w:iCs/>
        </w:rPr>
        <w:t>Office of the Foreign Investment Ombudsman (Korea)</w:t>
      </w:r>
      <w:r w:rsidR="00B03D89" w:rsidRPr="0003060E">
        <w:rPr>
          <w:rFonts w:cstheme="minorHAnsi"/>
        </w:rPr>
        <w:t xml:space="preserve"> (Web Page) &lt;</w:t>
      </w:r>
      <w:hyperlink r:id="rId11" w:history="1">
        <w:r w:rsidR="00B03D89" w:rsidRPr="0003060E">
          <w:rPr>
            <w:rStyle w:val="Hyperlink"/>
            <w:rFonts w:cstheme="minorHAnsi"/>
          </w:rPr>
          <w:t>https://ombudsman.kotra.or.kr/ob-en/index.do</w:t>
        </w:r>
      </w:hyperlink>
      <w:r w:rsidR="00B03D89" w:rsidRPr="0003060E">
        <w:rPr>
          <w:rFonts w:cstheme="minorHAnsi"/>
        </w:rPr>
        <w:t xml:space="preserve">&gt;; </w:t>
      </w:r>
      <w:r w:rsidR="00E02986" w:rsidRPr="0003060E">
        <w:rPr>
          <w:rFonts w:cstheme="minorHAnsi"/>
        </w:rPr>
        <w:t xml:space="preserve">Nguyen Ngoc Minh and Nguyen Thi Mai Anh, ‘Vietnam’, </w:t>
      </w:r>
      <w:r w:rsidR="00E02986" w:rsidRPr="0003060E">
        <w:rPr>
          <w:rFonts w:cstheme="minorHAnsi"/>
          <w:i/>
          <w:iCs/>
        </w:rPr>
        <w:t>Global Arbitration Review</w:t>
      </w:r>
      <w:r w:rsidR="00E02986" w:rsidRPr="0003060E">
        <w:rPr>
          <w:rFonts w:cstheme="minorHAnsi"/>
        </w:rPr>
        <w:t xml:space="preserve"> (Blog Post, 27 May 2022) &lt;</w:t>
      </w:r>
      <w:hyperlink r:id="rId12" w:history="1">
        <w:r w:rsidR="00E02986" w:rsidRPr="0003060E">
          <w:rPr>
            <w:rStyle w:val="Hyperlink"/>
            <w:rFonts w:cstheme="minorHAnsi"/>
          </w:rPr>
          <w:t>https://globalarbitrationreview.com/review/the-asia-pacific-arbitration-review/2023/article/vietnam</w:t>
        </w:r>
      </w:hyperlink>
      <w:r w:rsidR="00E02986" w:rsidRPr="0003060E">
        <w:rPr>
          <w:rFonts w:cstheme="minorHAnsi"/>
        </w:rPr>
        <w:t>&gt;.</w:t>
      </w:r>
    </w:p>
  </w:footnote>
  <w:footnote w:id="28">
    <w:p w14:paraId="69D710C8" w14:textId="4C070D18" w:rsidR="000B55D4" w:rsidRPr="0003060E" w:rsidRDefault="000B55D4">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853291" w:rsidRPr="0003060E">
        <w:rPr>
          <w:rFonts w:cstheme="minorHAnsi"/>
          <w:lang w:val="en-US"/>
        </w:rPr>
        <w:t xml:space="preserve">Compare, </w:t>
      </w:r>
      <w:proofErr w:type="spellStart"/>
      <w:r w:rsidR="00853291" w:rsidRPr="0003060E">
        <w:rPr>
          <w:rFonts w:cstheme="minorHAnsi"/>
          <w:lang w:val="en-US"/>
        </w:rPr>
        <w:t>eg</w:t>
      </w:r>
      <w:proofErr w:type="spellEnd"/>
      <w:r w:rsidR="00853291" w:rsidRPr="0003060E">
        <w:rPr>
          <w:rFonts w:cstheme="minorHAnsi"/>
          <w:lang w:val="en-US"/>
        </w:rPr>
        <w:t xml:space="preserve">, Luke Nottage and Sakda Thanitcul, ‘An Introduction - Special Issue: International Investment Arbitration in Southeast Asia’ (2017) 18(5-6) </w:t>
      </w:r>
      <w:r w:rsidR="00853291" w:rsidRPr="0003060E">
        <w:rPr>
          <w:rFonts w:cstheme="minorHAnsi"/>
          <w:i/>
          <w:iCs/>
          <w:lang w:val="en-US"/>
        </w:rPr>
        <w:t>Journal of World Investment &amp; Trade</w:t>
      </w:r>
      <w:r w:rsidR="00853291" w:rsidRPr="0003060E">
        <w:rPr>
          <w:rFonts w:cstheme="minorHAnsi"/>
          <w:lang w:val="en-US"/>
        </w:rPr>
        <w:t xml:space="preserve"> 767 with Luke Nottage and Amokura Kawharu, </w:t>
      </w:r>
      <w:r w:rsidR="004F6A4F" w:rsidRPr="0003060E">
        <w:rPr>
          <w:rFonts w:cstheme="minorHAnsi"/>
          <w:lang w:val="en-US"/>
        </w:rPr>
        <w:t>“</w:t>
      </w:r>
      <w:r w:rsidR="004F6A4F" w:rsidRPr="0003060E">
        <w:rPr>
          <w:rFonts w:eastAsia="Times New Roman" w:cstheme="minorHAnsi"/>
          <w:color w:val="212121"/>
          <w:shd w:val="clear" w:color="auto" w:fill="FFFFFF"/>
        </w:rPr>
        <w:t>Has ISDS Gone Rogue for Australia and New Zealand?</w:t>
      </w:r>
      <w:r w:rsidR="004F6A4F" w:rsidRPr="0003060E">
        <w:rPr>
          <w:rFonts w:cstheme="minorHAnsi"/>
          <w:lang w:val="en-US" w:eastAsia="en-US"/>
        </w:rPr>
        <w:t xml:space="preserve"> CPTPP (</w:t>
      </w:r>
      <w:r w:rsidR="004F6A4F" w:rsidRPr="0003060E">
        <w:rPr>
          <w:rFonts w:eastAsia="Times New Roman" w:cstheme="minorHAnsi"/>
          <w:color w:val="212121"/>
          <w:shd w:val="clear" w:color="auto" w:fill="FFFFFF"/>
        </w:rPr>
        <w:t>C-3PO), RCEP (R2-D2) and Beyond</w:t>
      </w:r>
      <w:r w:rsidR="004F6A4F" w:rsidRPr="0003060E">
        <w:rPr>
          <w:rFonts w:cstheme="minorHAnsi"/>
          <w:lang w:val="en-US"/>
        </w:rPr>
        <w:t xml:space="preserve">” </w:t>
      </w:r>
      <w:r w:rsidR="00853291" w:rsidRPr="0003060E">
        <w:rPr>
          <w:rFonts w:cstheme="minorHAnsi"/>
          <w:i/>
          <w:iCs/>
          <w:lang w:val="en-US"/>
        </w:rPr>
        <w:t>Yearbook on International Investment Law and Policy</w:t>
      </w:r>
      <w:r w:rsidR="00853291" w:rsidRPr="0003060E">
        <w:rPr>
          <w:rFonts w:cstheme="minorHAnsi"/>
          <w:lang w:val="en-US"/>
        </w:rPr>
        <w:t xml:space="preserve"> (Oxford University Press, 2017) 536 and Luke Nottage, ‘Australia’s (Dis)Engagement with Investor-State Arbitration: A Sequel’, </w:t>
      </w:r>
      <w:r w:rsidR="00853291" w:rsidRPr="0003060E">
        <w:rPr>
          <w:rFonts w:cstheme="minorHAnsi"/>
          <w:i/>
          <w:iCs/>
          <w:lang w:val="en-US"/>
        </w:rPr>
        <w:t>Kluwer Arbitration Blog</w:t>
      </w:r>
      <w:r w:rsidR="00853291" w:rsidRPr="0003060E">
        <w:rPr>
          <w:rFonts w:cstheme="minorHAnsi"/>
          <w:lang w:val="en-US"/>
        </w:rPr>
        <w:t xml:space="preserve"> (Blog Post, 21 December 2022) &lt;</w:t>
      </w:r>
      <w:hyperlink r:id="rId13" w:history="1">
        <w:r w:rsidR="00853291" w:rsidRPr="0003060E">
          <w:rPr>
            <w:rStyle w:val="Hyperlink"/>
            <w:rFonts w:cstheme="minorHAnsi"/>
            <w:lang w:val="en-US"/>
          </w:rPr>
          <w:t>https://arbitrationblog.kluwerarbitration.com/2022/12/21/australias-disengagement-with-investor-state-arbitration-a-sequel/</w:t>
        </w:r>
      </w:hyperlink>
      <w:r w:rsidR="00853291" w:rsidRPr="0003060E">
        <w:rPr>
          <w:rFonts w:cstheme="minorHAnsi"/>
          <w:lang w:val="en-US"/>
        </w:rPr>
        <w:t>&gt;.</w:t>
      </w:r>
    </w:p>
  </w:footnote>
  <w:footnote w:id="29">
    <w:p w14:paraId="0AE25AAA" w14:textId="252C6498" w:rsidR="000B55D4" w:rsidRPr="0003060E" w:rsidRDefault="000B55D4">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41496C" w:rsidRPr="0003060E">
        <w:rPr>
          <w:rFonts w:cstheme="minorHAnsi"/>
          <w:lang w:val="en-US"/>
        </w:rPr>
        <w:t xml:space="preserve">See, </w:t>
      </w:r>
      <w:proofErr w:type="spellStart"/>
      <w:r w:rsidR="0041496C" w:rsidRPr="0003060E">
        <w:rPr>
          <w:rFonts w:cstheme="minorHAnsi"/>
          <w:lang w:val="en-US"/>
        </w:rPr>
        <w:t>eg</w:t>
      </w:r>
      <w:proofErr w:type="spellEnd"/>
      <w:r w:rsidR="0041496C" w:rsidRPr="0003060E">
        <w:rPr>
          <w:rFonts w:cstheme="minorHAnsi"/>
          <w:lang w:val="en-US"/>
        </w:rPr>
        <w:t xml:space="preserve">, </w:t>
      </w:r>
      <w:proofErr w:type="spellStart"/>
      <w:r w:rsidR="0041496C" w:rsidRPr="0003060E">
        <w:rPr>
          <w:rFonts w:cstheme="minorHAnsi"/>
          <w:lang w:val="en-US"/>
        </w:rPr>
        <w:t>Prabhash</w:t>
      </w:r>
      <w:proofErr w:type="spellEnd"/>
      <w:r w:rsidR="0041496C" w:rsidRPr="0003060E">
        <w:rPr>
          <w:rFonts w:cstheme="minorHAnsi"/>
          <w:lang w:val="en-US"/>
        </w:rPr>
        <w:t xml:space="preserve"> Ranjan and Pushkar Anand, ‘Investor State Dispute Settlement in the 2016 Indian Model Bilateral Investment Treaty: Does it Go Too Far?’ in Julien Chaisse and Luke Nottage (eds), </w:t>
      </w:r>
      <w:r w:rsidR="0041496C" w:rsidRPr="0003060E">
        <w:rPr>
          <w:rFonts w:cstheme="minorHAnsi"/>
          <w:i/>
          <w:iCs/>
          <w:lang w:val="en-US"/>
        </w:rPr>
        <w:t>International Investment Treaties and Arbitration Across Asia</w:t>
      </w:r>
      <w:r w:rsidR="0041496C" w:rsidRPr="0003060E">
        <w:rPr>
          <w:rFonts w:cstheme="minorHAnsi"/>
          <w:lang w:val="en-US"/>
        </w:rPr>
        <w:t xml:space="preserve"> (Brill, 2018) 579; Antony Crockett, ‘The Termination of Indonesia’s </w:t>
      </w:r>
      <w:r w:rsidR="00531F07" w:rsidRPr="0003060E">
        <w:rPr>
          <w:rFonts w:cstheme="minorHAnsi"/>
          <w:lang w:val="en-US"/>
        </w:rPr>
        <w:t>BITs</w:t>
      </w:r>
      <w:r w:rsidR="0041496C" w:rsidRPr="0003060E">
        <w:rPr>
          <w:rFonts w:cstheme="minorHAnsi"/>
          <w:lang w:val="en-US"/>
        </w:rPr>
        <w:t xml:space="preserve">: Changing the Bathwater, but Keeping the Baby?’ in Julien Chaisse and Luke Nottage (eds), </w:t>
      </w:r>
      <w:r w:rsidR="0041496C" w:rsidRPr="0003060E">
        <w:rPr>
          <w:rFonts w:cstheme="minorHAnsi"/>
          <w:i/>
          <w:iCs/>
          <w:lang w:val="en-US"/>
        </w:rPr>
        <w:t>International Investment Treaties and Arbitration Across Asia</w:t>
      </w:r>
      <w:r w:rsidR="0041496C" w:rsidRPr="0003060E">
        <w:rPr>
          <w:rFonts w:cstheme="minorHAnsi"/>
          <w:lang w:val="en-US"/>
        </w:rPr>
        <w:t xml:space="preserve"> (Brill, 2018) 159.</w:t>
      </w:r>
    </w:p>
  </w:footnote>
  <w:footnote w:id="30">
    <w:p w14:paraId="7D41F797" w14:textId="609E3A52" w:rsidR="00841F0F" w:rsidRPr="0003060E" w:rsidRDefault="00841F0F">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F14249" w:rsidRPr="0003060E">
        <w:rPr>
          <w:rFonts w:cstheme="minorHAnsi"/>
          <w:lang w:val="en-US"/>
        </w:rPr>
        <w:t xml:space="preserve">See, </w:t>
      </w:r>
      <w:proofErr w:type="spellStart"/>
      <w:r w:rsidR="00F14249" w:rsidRPr="0003060E">
        <w:rPr>
          <w:rFonts w:cstheme="minorHAnsi"/>
          <w:lang w:val="en-US"/>
        </w:rPr>
        <w:t>eg</w:t>
      </w:r>
      <w:proofErr w:type="spellEnd"/>
      <w:r w:rsidR="00F14249" w:rsidRPr="0003060E">
        <w:rPr>
          <w:rFonts w:cstheme="minorHAnsi"/>
          <w:lang w:val="en-US"/>
        </w:rPr>
        <w:t xml:space="preserve">, Anthea Roberts, ‘Investment Treaties: The Reform Matrix’ (2018) 112(1) </w:t>
      </w:r>
      <w:r w:rsidR="00F14249" w:rsidRPr="0003060E">
        <w:rPr>
          <w:rFonts w:cstheme="minorHAnsi"/>
          <w:i/>
          <w:iCs/>
          <w:lang w:val="en-US"/>
        </w:rPr>
        <w:t>American Journal of International Law</w:t>
      </w:r>
      <w:r w:rsidR="00F14249" w:rsidRPr="0003060E">
        <w:rPr>
          <w:rFonts w:cstheme="minorHAnsi"/>
          <w:lang w:val="en-US"/>
        </w:rPr>
        <w:t xml:space="preserve"> 191.</w:t>
      </w:r>
    </w:p>
  </w:footnote>
  <w:footnote w:id="31">
    <w:p w14:paraId="64B6DA4C" w14:textId="3F4953EB" w:rsidR="00C83FF9" w:rsidRPr="0003060E" w:rsidRDefault="00C83FF9">
      <w:pPr>
        <w:pStyle w:val="FootnoteText"/>
        <w:rPr>
          <w:rFonts w:cstheme="minorHAnsi"/>
        </w:rPr>
      </w:pPr>
      <w:r w:rsidRPr="0003060E">
        <w:rPr>
          <w:rStyle w:val="FootnoteReference"/>
          <w:rFonts w:cstheme="minorHAnsi"/>
        </w:rPr>
        <w:footnoteRef/>
      </w:r>
      <w:r w:rsidRPr="0003060E">
        <w:rPr>
          <w:rFonts w:cstheme="minorHAnsi"/>
        </w:rPr>
        <w:t xml:space="preserve"> </w:t>
      </w:r>
      <w:r w:rsidR="000465DE" w:rsidRPr="0003060E">
        <w:rPr>
          <w:rFonts w:cstheme="minorHAnsi"/>
          <w:lang w:val="en-US"/>
        </w:rPr>
        <w:t xml:space="preserve">Yves </w:t>
      </w:r>
      <w:proofErr w:type="spellStart"/>
      <w:r w:rsidR="000465DE" w:rsidRPr="0003060E">
        <w:rPr>
          <w:rFonts w:cstheme="minorHAnsi"/>
          <w:lang w:val="en-US"/>
        </w:rPr>
        <w:t>Dezalay</w:t>
      </w:r>
      <w:proofErr w:type="spellEnd"/>
      <w:r w:rsidR="000465DE" w:rsidRPr="0003060E">
        <w:rPr>
          <w:rFonts w:cstheme="minorHAnsi"/>
          <w:lang w:val="en-US"/>
        </w:rPr>
        <w:t xml:space="preserve"> and Bryant Garth, </w:t>
      </w:r>
      <w:r w:rsidR="000465DE" w:rsidRPr="0003060E">
        <w:rPr>
          <w:rFonts w:cstheme="minorHAnsi"/>
          <w:i/>
          <w:iCs/>
          <w:lang w:val="en-US"/>
        </w:rPr>
        <w:t xml:space="preserve">Dealing in Virtue International Commercial </w:t>
      </w:r>
      <w:proofErr w:type="gramStart"/>
      <w:r w:rsidR="000465DE" w:rsidRPr="0003060E">
        <w:rPr>
          <w:rFonts w:cstheme="minorHAnsi"/>
          <w:i/>
          <w:iCs/>
          <w:lang w:val="en-US"/>
        </w:rPr>
        <w:t>Arbitration</w:t>
      </w:r>
      <w:proofErr w:type="gramEnd"/>
      <w:r w:rsidR="000465DE" w:rsidRPr="0003060E">
        <w:rPr>
          <w:rFonts w:cstheme="minorHAnsi"/>
          <w:i/>
          <w:iCs/>
          <w:lang w:val="en-US"/>
        </w:rPr>
        <w:t xml:space="preserve"> and the Construction of a Transnational Legal Order</w:t>
      </w:r>
      <w:r w:rsidR="000465DE" w:rsidRPr="0003060E">
        <w:rPr>
          <w:rFonts w:cstheme="minorHAnsi"/>
          <w:lang w:val="en-US"/>
        </w:rPr>
        <w:t xml:space="preserve"> (The University of Chicago Press, 1996).</w:t>
      </w:r>
    </w:p>
  </w:footnote>
  <w:footnote w:id="32">
    <w:p w14:paraId="4B435F1A" w14:textId="2FAA58EA" w:rsidR="00431836" w:rsidRPr="0003060E" w:rsidRDefault="00431836">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F9664A" w:rsidRPr="0003060E">
        <w:rPr>
          <w:rFonts w:cstheme="minorHAnsi"/>
        </w:rPr>
        <w:t xml:space="preserve">Luke Nottage, </w:t>
      </w:r>
      <w:r w:rsidR="00F9664A" w:rsidRPr="0003060E">
        <w:rPr>
          <w:rFonts w:cstheme="minorHAnsi"/>
          <w:i/>
          <w:iCs/>
        </w:rPr>
        <w:t xml:space="preserve">International Commercial and Investor-State Arbitration: Australia and Japan in Regional and Global Contexts </w:t>
      </w:r>
      <w:r w:rsidR="00F9664A" w:rsidRPr="0003060E">
        <w:rPr>
          <w:rFonts w:cstheme="minorHAnsi"/>
        </w:rPr>
        <w:t>(Elgar, 2021)</w:t>
      </w:r>
      <w:r w:rsidR="000E2F2D" w:rsidRPr="0003060E">
        <w:rPr>
          <w:rFonts w:cstheme="minorHAnsi"/>
        </w:rPr>
        <w:t xml:space="preserve"> </w:t>
      </w:r>
      <w:r w:rsidR="00531F07" w:rsidRPr="0003060E">
        <w:rPr>
          <w:rFonts w:cstheme="minorHAnsi"/>
        </w:rPr>
        <w:t>41-42, 52-86</w:t>
      </w:r>
      <w:r w:rsidR="00F9664A" w:rsidRPr="0003060E">
        <w:rPr>
          <w:rFonts w:cstheme="minorHAnsi"/>
        </w:rPr>
        <w:t>.</w:t>
      </w:r>
    </w:p>
  </w:footnote>
  <w:footnote w:id="33">
    <w:p w14:paraId="61610516" w14:textId="11D40424" w:rsidR="00951885" w:rsidRPr="0003060E" w:rsidRDefault="00951885" w:rsidP="00E61508">
      <w:pPr>
        <w:pStyle w:val="FootnoteText"/>
        <w:rPr>
          <w:rFonts w:cstheme="minorHAnsi"/>
          <w:noProof/>
        </w:rPr>
      </w:pPr>
      <w:r w:rsidRPr="0003060E">
        <w:rPr>
          <w:rStyle w:val="FootnoteReference"/>
          <w:rFonts w:cstheme="minorHAnsi"/>
        </w:rPr>
        <w:footnoteRef/>
      </w:r>
      <w:r w:rsidRPr="0003060E">
        <w:rPr>
          <w:rFonts w:cstheme="minorHAnsi"/>
        </w:rPr>
        <w:t xml:space="preserve"> </w:t>
      </w:r>
      <w:r w:rsidR="00A168E0" w:rsidRPr="0003060E">
        <w:rPr>
          <w:rFonts w:cstheme="minorHAnsi"/>
        </w:rPr>
        <w:t xml:space="preserve">See, </w:t>
      </w:r>
      <w:proofErr w:type="spellStart"/>
      <w:r w:rsidR="00A168E0" w:rsidRPr="0003060E">
        <w:rPr>
          <w:rFonts w:cstheme="minorHAnsi"/>
        </w:rPr>
        <w:t>eg</w:t>
      </w:r>
      <w:proofErr w:type="spellEnd"/>
      <w:r w:rsidR="00A168E0" w:rsidRPr="0003060E">
        <w:rPr>
          <w:rFonts w:cstheme="minorHAnsi"/>
        </w:rPr>
        <w:t xml:space="preserve">, Nobumichi Teramura, </w:t>
      </w:r>
      <w:r w:rsidR="00A168E0" w:rsidRPr="0003060E">
        <w:rPr>
          <w:rFonts w:cstheme="minorHAnsi"/>
          <w:i/>
          <w:iCs/>
        </w:rPr>
        <w:t>Ex Aequo et Bono as a Response to the ‘</w:t>
      </w:r>
      <w:proofErr w:type="spellStart"/>
      <w:r w:rsidR="00A168E0" w:rsidRPr="0003060E">
        <w:rPr>
          <w:rFonts w:cstheme="minorHAnsi"/>
          <w:i/>
          <w:iCs/>
        </w:rPr>
        <w:t>OverJudicialisation</w:t>
      </w:r>
      <w:proofErr w:type="spellEnd"/>
      <w:r w:rsidR="00A168E0" w:rsidRPr="0003060E">
        <w:rPr>
          <w:rFonts w:cstheme="minorHAnsi"/>
          <w:i/>
          <w:iCs/>
        </w:rPr>
        <w:t>’ of International Commercial Arbitration</w:t>
      </w:r>
      <w:r w:rsidR="00A168E0" w:rsidRPr="0003060E">
        <w:rPr>
          <w:rFonts w:cstheme="minorHAnsi"/>
        </w:rPr>
        <w:t xml:space="preserve"> (Kluwer Law International, 2020)</w:t>
      </w:r>
      <w:r w:rsidR="00CC3A68" w:rsidRPr="0003060E">
        <w:rPr>
          <w:rFonts w:cstheme="minorHAnsi"/>
        </w:rPr>
        <w:t xml:space="preserve"> 14-20; Sundaresh Menon, ‘</w:t>
      </w:r>
      <w:r w:rsidR="00CC3A68" w:rsidRPr="0003060E">
        <w:rPr>
          <w:rFonts w:cstheme="minorHAnsi"/>
        </w:rPr>
        <w:fldChar w:fldCharType="begin"/>
      </w:r>
      <w:r w:rsidR="00CC3A68" w:rsidRPr="0003060E">
        <w:rPr>
          <w:rFonts w:cstheme="minorHAnsi"/>
        </w:rPr>
        <w:instrText xml:space="preserve"> ADDIN EN.CITE &lt;EndNote&gt;&lt;Cite&gt;&lt;Author&gt;Menon&lt;/Author&gt;&lt;Year&gt;2021&lt;/Year&gt;&lt;RecNum&gt;1&lt;/RecNum&gt;&lt;record&gt;&lt;rec-number&gt;1&lt;/rec-number&gt;&lt;foreign-keys&gt;&lt;key app="EN" db-id="vt9d9zwv4faa2bex5davpxx1frsvtxpss00z" timestamp="1623746300"&gt;1&lt;/key&gt;&lt;/foreign-keys&gt;&lt;ref-type name="Journal Article"&gt;17&lt;/ref-type&gt;&lt;contributors&gt;&lt;authors&gt;&lt;author&gt;Menon, Sundaresh&lt;/author&gt;&lt;/authors&gt;&lt;/contributors&gt;&lt;titles&gt;&lt;title&gt;Arbitration’s Blade: International Arbitration and the Rule of Law&lt;/title&gt;&lt;secondary-title&gt;Journal of International Arbitration&lt;/secondary-title&gt;&lt;/titles&gt;&lt;periodical&gt;&lt;full-title&gt;Journal of International Arbitration&lt;/full-title&gt;&lt;/periodical&gt;&lt;pages&gt;1-26&lt;/pages&gt;&lt;volume&gt;38&lt;/volume&gt;&lt;number&gt;1&lt;/number&gt;&lt;section&gt;1&lt;/section&gt;&lt;dates&gt;&lt;year&gt;2021&lt;/year&gt;&lt;/dates&gt;&lt;urls&gt;&lt;/urls&gt;&lt;/record&gt;&lt;/Cite&gt;&lt;/EndNote&gt;</w:instrText>
      </w:r>
      <w:r w:rsidR="00CC3A68" w:rsidRPr="0003060E">
        <w:rPr>
          <w:rFonts w:cstheme="minorHAnsi"/>
        </w:rPr>
        <w:fldChar w:fldCharType="separate"/>
      </w:r>
      <w:r w:rsidR="00CC3A68" w:rsidRPr="0003060E">
        <w:rPr>
          <w:rFonts w:cstheme="minorHAnsi"/>
          <w:iCs/>
          <w:noProof/>
        </w:rPr>
        <w:t>Arbitration’s Blade: International Arbitration and the Rule of Law</w:t>
      </w:r>
      <w:r w:rsidR="00CC3A68" w:rsidRPr="0003060E">
        <w:rPr>
          <w:rFonts w:cstheme="minorHAnsi"/>
          <w:noProof/>
        </w:rPr>
        <w:t xml:space="preserve">' (2021) 38 </w:t>
      </w:r>
      <w:r w:rsidR="00CC3A68" w:rsidRPr="0003060E">
        <w:rPr>
          <w:rFonts w:cstheme="minorHAnsi"/>
          <w:i/>
          <w:iCs/>
          <w:noProof/>
        </w:rPr>
        <w:t xml:space="preserve">Journal of International Arbitration </w:t>
      </w:r>
      <w:r w:rsidR="00CC3A68" w:rsidRPr="0003060E">
        <w:rPr>
          <w:rFonts w:cstheme="minorHAnsi"/>
          <w:noProof/>
        </w:rPr>
        <w:t>1, 18-19</w:t>
      </w:r>
      <w:r w:rsidR="00712309" w:rsidRPr="0003060E">
        <w:rPr>
          <w:rFonts w:cstheme="minorHAnsi"/>
          <w:noProof/>
        </w:rPr>
        <w:t xml:space="preserve">; Emma Garrett, 'Interviews with Our Editors: In Conversation with the Hon Wayne Martin AC KC' </w:t>
      </w:r>
      <w:r w:rsidR="00712309" w:rsidRPr="0003060E">
        <w:rPr>
          <w:rFonts w:cstheme="minorHAnsi"/>
          <w:i/>
          <w:iCs/>
          <w:noProof/>
        </w:rPr>
        <w:t>Kluwer Arbitration Blog</w:t>
      </w:r>
      <w:r w:rsidR="00712309" w:rsidRPr="0003060E">
        <w:rPr>
          <w:rFonts w:cstheme="minorHAnsi"/>
          <w:noProof/>
        </w:rPr>
        <w:t xml:space="preserve"> (Blog post, 10 October 2023) &lt;https://arbitrationblog.kluwerarbitration.com/2023/10/10/interviews-with-our-editors-in-conversation-with-the-hon-wayne-martin-ac-kc/&gt;.</w:t>
      </w:r>
      <w:r w:rsidR="00CC3A68" w:rsidRPr="0003060E">
        <w:rPr>
          <w:rFonts w:cstheme="minorHAnsi"/>
          <w:noProof/>
        </w:rPr>
        <w:t xml:space="preserve"> </w:t>
      </w:r>
      <w:r w:rsidR="00CC3A68" w:rsidRPr="0003060E">
        <w:rPr>
          <w:rFonts w:cstheme="minorHAnsi"/>
        </w:rPr>
        <w:fldChar w:fldCharType="end"/>
      </w:r>
    </w:p>
  </w:footnote>
  <w:footnote w:id="34">
    <w:p w14:paraId="004D5AF1" w14:textId="06210B8E" w:rsidR="00EE3B90" w:rsidRPr="0003060E" w:rsidRDefault="00EE3B90">
      <w:pPr>
        <w:pStyle w:val="FootnoteText"/>
        <w:rPr>
          <w:rFonts w:cstheme="minorHAnsi"/>
        </w:rPr>
      </w:pPr>
      <w:r w:rsidRPr="0003060E">
        <w:rPr>
          <w:rStyle w:val="FootnoteReference"/>
          <w:rFonts w:cstheme="minorHAnsi"/>
        </w:rPr>
        <w:footnoteRef/>
      </w:r>
      <w:r w:rsidRPr="0003060E">
        <w:rPr>
          <w:rFonts w:cstheme="minorHAnsi"/>
        </w:rPr>
        <w:t xml:space="preserve"> </w:t>
      </w:r>
      <w:r w:rsidR="001E4754" w:rsidRPr="0003060E">
        <w:rPr>
          <w:rFonts w:cstheme="minorHAnsi"/>
        </w:rPr>
        <w:t xml:space="preserve">Luke Nottage, ‘In/formalization and Glocalization of International Commercial Arbitration and Investment Treaty Arbitration in Asia’ in Joachim </w:t>
      </w:r>
      <w:proofErr w:type="spellStart"/>
      <w:r w:rsidR="001E4754" w:rsidRPr="0003060E">
        <w:rPr>
          <w:rFonts w:cstheme="minorHAnsi"/>
        </w:rPr>
        <w:t>Zekoll</w:t>
      </w:r>
      <w:proofErr w:type="spellEnd"/>
      <w:r w:rsidR="001E4754" w:rsidRPr="0003060E">
        <w:rPr>
          <w:rFonts w:cstheme="minorHAnsi"/>
        </w:rPr>
        <w:t xml:space="preserve">, Moritz </w:t>
      </w:r>
      <w:proofErr w:type="spellStart"/>
      <w:proofErr w:type="gramStart"/>
      <w:r w:rsidR="001E4754" w:rsidRPr="0003060E">
        <w:rPr>
          <w:rFonts w:cstheme="minorHAnsi"/>
        </w:rPr>
        <w:t>Baelz</w:t>
      </w:r>
      <w:proofErr w:type="spellEnd"/>
      <w:proofErr w:type="gramEnd"/>
      <w:r w:rsidR="001E4754" w:rsidRPr="0003060E">
        <w:rPr>
          <w:rFonts w:cstheme="minorHAnsi"/>
        </w:rPr>
        <w:t xml:space="preserve"> and Iwo Amelung (eds), </w:t>
      </w:r>
      <w:r w:rsidR="001E4754" w:rsidRPr="0003060E">
        <w:rPr>
          <w:rFonts w:cstheme="minorHAnsi"/>
          <w:i/>
          <w:iCs/>
        </w:rPr>
        <w:t xml:space="preserve">Formalisation and </w:t>
      </w:r>
      <w:proofErr w:type="spellStart"/>
      <w:r w:rsidR="001E4754" w:rsidRPr="0003060E">
        <w:rPr>
          <w:rFonts w:cstheme="minorHAnsi"/>
          <w:i/>
          <w:iCs/>
        </w:rPr>
        <w:t>Flexibilisation</w:t>
      </w:r>
      <w:proofErr w:type="spellEnd"/>
      <w:r w:rsidR="001E4754" w:rsidRPr="0003060E">
        <w:rPr>
          <w:rFonts w:cstheme="minorHAnsi"/>
          <w:i/>
          <w:iCs/>
        </w:rPr>
        <w:t xml:space="preserve"> in Dispute Resolution</w:t>
      </w:r>
      <w:r w:rsidR="001E4754" w:rsidRPr="0003060E">
        <w:rPr>
          <w:rFonts w:cstheme="minorHAnsi"/>
        </w:rPr>
        <w:t xml:space="preserve"> (Brill, 2014) 211.</w:t>
      </w:r>
      <w:r w:rsidR="000A0117" w:rsidRPr="0003060E">
        <w:rPr>
          <w:rFonts w:cstheme="minorHAnsi"/>
        </w:rPr>
        <w:t xml:space="preserve"> See also </w:t>
      </w:r>
      <w:proofErr w:type="spellStart"/>
      <w:proofErr w:type="gramStart"/>
      <w:r w:rsidR="000A0117" w:rsidRPr="0003060E">
        <w:rPr>
          <w:rFonts w:cstheme="minorHAnsi"/>
        </w:rPr>
        <w:t>eg</w:t>
      </w:r>
      <w:proofErr w:type="spellEnd"/>
      <w:proofErr w:type="gramEnd"/>
      <w:r w:rsidR="000A0117" w:rsidRPr="0003060E">
        <w:rPr>
          <w:rFonts w:cstheme="minorHAnsi"/>
        </w:rPr>
        <w:t xml:space="preserve"> Singapore International Dispute Resolution Academy, SIDRA International Dispute Resolution Survey: 2022 Final Report &lt;https://sidra.smu.edu.sg/research-program/international-dispute-resolution-survey/sidra-survey-2022&gt; especially Exhibits 4.2 and 4.3.</w:t>
      </w:r>
    </w:p>
  </w:footnote>
  <w:footnote w:id="35">
    <w:p w14:paraId="6757D450" w14:textId="2D6A6956" w:rsidR="00EE3B90" w:rsidRPr="0003060E" w:rsidRDefault="00EE3B90" w:rsidP="00D84163">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B864D0" w:rsidRPr="0003060E">
        <w:rPr>
          <w:rFonts w:cstheme="minorHAnsi"/>
          <w:lang w:val="en-US"/>
        </w:rPr>
        <w:t xml:space="preserve">Nottage (n </w:t>
      </w:r>
      <w:r w:rsidR="00821827" w:rsidRPr="0003060E">
        <w:rPr>
          <w:rFonts w:cstheme="minorHAnsi"/>
          <w:lang w:val="en-US"/>
        </w:rPr>
        <w:t>30</w:t>
      </w:r>
      <w:r w:rsidR="00B864D0" w:rsidRPr="0003060E">
        <w:rPr>
          <w:rFonts w:cstheme="minorHAnsi"/>
          <w:lang w:val="en-US"/>
        </w:rPr>
        <w:t xml:space="preserve">) 216, reproduced from Luke Nottage, ‘A Weather Map for International Arbitration: Mainly Sunny, Some Cloud, Possible Thunderstorms’ in Stavros Brekoulakis, Julian Lew and Loukas Mistelis (eds) </w:t>
      </w:r>
      <w:r w:rsidR="00B864D0" w:rsidRPr="0003060E">
        <w:rPr>
          <w:rFonts w:cstheme="minorHAnsi"/>
          <w:i/>
          <w:iCs/>
          <w:lang w:val="en-US"/>
        </w:rPr>
        <w:t xml:space="preserve">The Evolution and Future of International Arbitration </w:t>
      </w:r>
      <w:r w:rsidR="00B864D0" w:rsidRPr="0003060E">
        <w:rPr>
          <w:rFonts w:cstheme="minorHAnsi"/>
          <w:lang w:val="en-US"/>
        </w:rPr>
        <w:t>(Wolters Kluwer, 2016) 59, 64.</w:t>
      </w:r>
      <w:r w:rsidR="00D84163" w:rsidRPr="0003060E">
        <w:rPr>
          <w:rFonts w:cstheme="minorHAnsi"/>
          <w:lang w:val="en-US"/>
        </w:rPr>
        <w:t xml:space="preserve"> </w:t>
      </w:r>
    </w:p>
  </w:footnote>
  <w:footnote w:id="36">
    <w:p w14:paraId="036503EF" w14:textId="154ECFE3" w:rsidR="00916B84" w:rsidRPr="0003060E" w:rsidRDefault="00EE3B90" w:rsidP="00B864D0">
      <w:pPr>
        <w:autoSpaceDE w:val="0"/>
        <w:autoSpaceDN w:val="0"/>
        <w:adjustRightInd w:val="0"/>
        <w:rPr>
          <w:rFonts w:asciiTheme="minorHAnsi" w:hAnsiTheme="minorHAnsi" w:cstheme="minorHAnsi"/>
          <w:sz w:val="20"/>
          <w:szCs w:val="20"/>
        </w:rPr>
      </w:pPr>
      <w:r w:rsidRPr="0003060E">
        <w:rPr>
          <w:rStyle w:val="FootnoteReference"/>
          <w:rFonts w:asciiTheme="minorHAnsi" w:hAnsiTheme="minorHAnsi" w:cstheme="minorHAnsi"/>
          <w:sz w:val="20"/>
          <w:szCs w:val="20"/>
        </w:rPr>
        <w:footnoteRef/>
      </w:r>
      <w:r w:rsidR="00CF4FDD" w:rsidRPr="0003060E">
        <w:rPr>
          <w:rFonts w:asciiTheme="minorHAnsi" w:hAnsiTheme="minorHAnsi" w:cstheme="minorHAnsi"/>
          <w:sz w:val="20"/>
          <w:szCs w:val="20"/>
        </w:rPr>
        <w:t xml:space="preserve"> Remy </w:t>
      </w:r>
      <w:proofErr w:type="spellStart"/>
      <w:r w:rsidR="00CF4FDD" w:rsidRPr="0003060E">
        <w:rPr>
          <w:rFonts w:asciiTheme="minorHAnsi" w:hAnsiTheme="minorHAnsi" w:cstheme="minorHAnsi"/>
          <w:sz w:val="20"/>
          <w:szCs w:val="20"/>
        </w:rPr>
        <w:t>Gerbay</w:t>
      </w:r>
      <w:proofErr w:type="spellEnd"/>
      <w:r w:rsidR="00CF4FDD" w:rsidRPr="0003060E">
        <w:rPr>
          <w:rFonts w:asciiTheme="minorHAnsi" w:hAnsiTheme="minorHAnsi" w:cstheme="minorHAnsi"/>
          <w:sz w:val="20"/>
          <w:szCs w:val="20"/>
        </w:rPr>
        <w:t xml:space="preserve">, </w:t>
      </w:r>
      <w:r w:rsidR="00B864D0" w:rsidRPr="0003060E">
        <w:rPr>
          <w:rFonts w:asciiTheme="minorHAnsi" w:hAnsiTheme="minorHAnsi" w:cstheme="minorHAnsi"/>
          <w:sz w:val="20"/>
          <w:szCs w:val="20"/>
        </w:rPr>
        <w:t xml:space="preserve">‘Is the End Nigh Again? An Empirical Assessment of the “Judicialization” of International Arbitration’ (2014) 25(2) </w:t>
      </w:r>
      <w:r w:rsidR="00B864D0" w:rsidRPr="0003060E">
        <w:rPr>
          <w:rFonts w:asciiTheme="minorHAnsi" w:hAnsiTheme="minorHAnsi" w:cstheme="minorHAnsi"/>
          <w:i/>
          <w:iCs/>
          <w:sz w:val="20"/>
          <w:szCs w:val="20"/>
        </w:rPr>
        <w:t xml:space="preserve">American Review of International Arbitration </w:t>
      </w:r>
      <w:r w:rsidR="00B864D0" w:rsidRPr="0003060E">
        <w:rPr>
          <w:rFonts w:asciiTheme="minorHAnsi" w:hAnsiTheme="minorHAnsi" w:cstheme="minorHAnsi"/>
          <w:sz w:val="20"/>
          <w:szCs w:val="20"/>
        </w:rPr>
        <w:t>223.</w:t>
      </w:r>
    </w:p>
  </w:footnote>
  <w:footnote w:id="37">
    <w:p w14:paraId="53666174" w14:textId="0B2A1937" w:rsidR="00EE3B90" w:rsidRPr="0003060E" w:rsidRDefault="00EE3B90">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5E7016" w:rsidRPr="0003060E">
        <w:rPr>
          <w:rFonts w:cstheme="minorHAnsi"/>
        </w:rPr>
        <w:t>Gordon Smith, ‘</w:t>
      </w:r>
      <w:r w:rsidR="005E7016" w:rsidRPr="0003060E">
        <w:rPr>
          <w:rFonts w:cstheme="minorHAnsi"/>
          <w:iCs/>
        </w:rPr>
        <w:t>Comparative Analysis of Joinder and Consolidation Provisions Under Leading Arbitral Rules</w:t>
      </w:r>
      <w:r w:rsidR="005E7016" w:rsidRPr="0003060E">
        <w:rPr>
          <w:rFonts w:cstheme="minorHAnsi"/>
        </w:rPr>
        <w:t xml:space="preserve">’ (2018) 35(2) </w:t>
      </w:r>
      <w:r w:rsidR="005E7016" w:rsidRPr="0003060E">
        <w:rPr>
          <w:rFonts w:cstheme="minorHAnsi"/>
          <w:i/>
          <w:iCs/>
        </w:rPr>
        <w:t>Journal of International Arbitration</w:t>
      </w:r>
      <w:r w:rsidR="005E7016" w:rsidRPr="0003060E">
        <w:rPr>
          <w:rFonts w:cstheme="minorHAnsi"/>
        </w:rPr>
        <w:t xml:space="preserve"> 173, 187</w:t>
      </w:r>
      <w:r w:rsidR="005E7016" w:rsidRPr="0003060E">
        <w:rPr>
          <w:rFonts w:cstheme="minorHAnsi"/>
          <w:lang w:val="en-US"/>
        </w:rPr>
        <w:t>; Luke Nottage</w:t>
      </w:r>
      <w:r w:rsidR="00EA79C0" w:rsidRPr="0003060E">
        <w:rPr>
          <w:rFonts w:cstheme="minorHAnsi"/>
          <w:lang w:val="en-US"/>
        </w:rPr>
        <w:t xml:space="preserve">, Julia </w:t>
      </w:r>
      <w:proofErr w:type="spellStart"/>
      <w:r w:rsidR="00EA79C0" w:rsidRPr="0003060E">
        <w:rPr>
          <w:rFonts w:cstheme="minorHAnsi"/>
          <w:lang w:val="en-US"/>
        </w:rPr>
        <w:t>Dreosti</w:t>
      </w:r>
      <w:proofErr w:type="spellEnd"/>
      <w:r w:rsidR="00EA79C0" w:rsidRPr="0003060E">
        <w:rPr>
          <w:rFonts w:cstheme="minorHAnsi"/>
          <w:lang w:val="en-US"/>
        </w:rPr>
        <w:t xml:space="preserve"> and Robert Tang</w:t>
      </w:r>
      <w:r w:rsidR="005E7016" w:rsidRPr="0003060E">
        <w:rPr>
          <w:rFonts w:cstheme="minorHAnsi"/>
          <w:lang w:val="en-US"/>
        </w:rPr>
        <w:t xml:space="preserve">, ‘The ACICA Arbitration Rules 2021: Advancing Australia’s Pro-Arbitration Culture’ (2021) 38(6) </w:t>
      </w:r>
      <w:r w:rsidR="005E7016" w:rsidRPr="0003060E">
        <w:rPr>
          <w:rFonts w:cstheme="minorHAnsi"/>
          <w:i/>
          <w:iCs/>
          <w:lang w:val="en-US"/>
        </w:rPr>
        <w:t>Journal of International Arbitration</w:t>
      </w:r>
      <w:r w:rsidR="005E7016" w:rsidRPr="0003060E">
        <w:rPr>
          <w:rFonts w:cstheme="minorHAnsi"/>
          <w:lang w:val="en-US"/>
        </w:rPr>
        <w:t xml:space="preserve"> 775.</w:t>
      </w:r>
    </w:p>
  </w:footnote>
  <w:footnote w:id="38">
    <w:p w14:paraId="5EC85AFB" w14:textId="7C939214" w:rsidR="00F16347" w:rsidRPr="0003060E" w:rsidRDefault="00F16347">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A96031" w:rsidRPr="0003060E">
        <w:rPr>
          <w:rFonts w:cstheme="minorHAnsi"/>
        </w:rPr>
        <w:t>Stavros Brekoulakis, ‘</w:t>
      </w:r>
      <w:r w:rsidR="00B864D0" w:rsidRPr="0003060E">
        <w:rPr>
          <w:rFonts w:cstheme="minorHAnsi"/>
        </w:rPr>
        <w:t>Parties in International Arbitration: Consent v. Commercial Reality</w:t>
      </w:r>
      <w:r w:rsidR="00A96031" w:rsidRPr="0003060E">
        <w:rPr>
          <w:rFonts w:cstheme="minorHAnsi"/>
        </w:rPr>
        <w:t xml:space="preserve">’ in Stavros L Brekoulakis, Julian David Mathew Lew, and Loukas Mistelis (eds), </w:t>
      </w:r>
      <w:r w:rsidR="00A96031" w:rsidRPr="0003060E">
        <w:rPr>
          <w:rFonts w:cstheme="minorHAnsi"/>
          <w:i/>
          <w:iCs/>
        </w:rPr>
        <w:t>The Evolution and Future of International Arbitration</w:t>
      </w:r>
      <w:r w:rsidR="00A96031" w:rsidRPr="0003060E">
        <w:rPr>
          <w:rFonts w:cstheme="minorHAnsi"/>
        </w:rPr>
        <w:t xml:space="preserve"> (Wolters Kluwer, 2016) </w:t>
      </w:r>
      <w:r w:rsidR="00B864D0" w:rsidRPr="0003060E">
        <w:rPr>
          <w:rFonts w:cstheme="minorHAnsi"/>
        </w:rPr>
        <w:t>119</w:t>
      </w:r>
      <w:r w:rsidR="00A96031" w:rsidRPr="0003060E">
        <w:rPr>
          <w:rFonts w:cstheme="minorHAnsi"/>
        </w:rPr>
        <w:t xml:space="preserve">; Loukas Mistelis and Giammarco Rao, 'The Judicial Solution to the Arbitrator’s Dilemma: Does the ‘Extension’ of the Arbitration Agreement to Non-Signatories Threaten the Enforcement of the Award?' (2022) 39(3) </w:t>
      </w:r>
      <w:r w:rsidR="00A96031" w:rsidRPr="0003060E">
        <w:rPr>
          <w:rFonts w:cstheme="minorHAnsi"/>
          <w:i/>
          <w:iCs/>
        </w:rPr>
        <w:t>Journal of International Arbitration</w:t>
      </w:r>
      <w:r w:rsidR="00A96031" w:rsidRPr="0003060E">
        <w:rPr>
          <w:rFonts w:cstheme="minorHAnsi"/>
        </w:rPr>
        <w:t xml:space="preserve"> 351.</w:t>
      </w:r>
    </w:p>
  </w:footnote>
  <w:footnote w:id="39">
    <w:p w14:paraId="05AF9534" w14:textId="6290B9CB" w:rsidR="00F16347" w:rsidRPr="0003060E" w:rsidRDefault="00F16347" w:rsidP="002B18CE">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76368C" w:rsidRPr="0003060E">
        <w:rPr>
          <w:rFonts w:cstheme="minorHAnsi"/>
          <w:lang w:val="en-US"/>
        </w:rPr>
        <w:t xml:space="preserve">See Mark Lewis, </w:t>
      </w:r>
      <w:r w:rsidR="0076368C" w:rsidRPr="0003060E">
        <w:rPr>
          <w:rFonts w:cstheme="minorHAnsi"/>
          <w:i/>
          <w:iCs/>
          <w:lang w:val="en-US"/>
        </w:rPr>
        <w:t>Consolidation and Third-Party Joinder in International Commercial Arbitration - Procedural Panacea or Poison?</w:t>
      </w:r>
      <w:r w:rsidR="0076368C" w:rsidRPr="0003060E">
        <w:rPr>
          <w:rFonts w:cstheme="minorHAnsi"/>
          <w:lang w:val="en-US"/>
        </w:rPr>
        <w:t xml:space="preserve"> (University of Melbourne LLM Minor Thesis, 2023).</w:t>
      </w:r>
    </w:p>
  </w:footnote>
  <w:footnote w:id="40">
    <w:p w14:paraId="3646CC7E" w14:textId="7F9518DB" w:rsidR="003E51FB" w:rsidRPr="0003060E" w:rsidRDefault="003E51FB">
      <w:pPr>
        <w:pStyle w:val="FootnoteText"/>
        <w:rPr>
          <w:rFonts w:cstheme="minorHAnsi"/>
        </w:rPr>
      </w:pPr>
      <w:r w:rsidRPr="0003060E">
        <w:rPr>
          <w:rStyle w:val="FootnoteReference"/>
          <w:rFonts w:cstheme="minorHAnsi"/>
        </w:rPr>
        <w:footnoteRef/>
      </w:r>
      <w:r w:rsidRPr="0003060E">
        <w:rPr>
          <w:rFonts w:cstheme="minorHAnsi"/>
        </w:rPr>
        <w:t xml:space="preserve"> </w:t>
      </w:r>
      <w:r w:rsidRPr="0003060E">
        <w:rPr>
          <w:rFonts w:cstheme="minorHAnsi"/>
          <w:i/>
          <w:iCs/>
        </w:rPr>
        <w:t xml:space="preserve">Rinehart v Hancock Prospecting Pty </w:t>
      </w:r>
      <w:r w:rsidR="002B18CE" w:rsidRPr="0003060E">
        <w:rPr>
          <w:rFonts w:cstheme="minorHAnsi"/>
          <w:i/>
          <w:iCs/>
        </w:rPr>
        <w:t>L</w:t>
      </w:r>
      <w:r w:rsidR="00B57F0C" w:rsidRPr="0003060E">
        <w:rPr>
          <w:rFonts w:cstheme="minorHAnsi"/>
          <w:i/>
          <w:iCs/>
        </w:rPr>
        <w:t>td</w:t>
      </w:r>
      <w:r w:rsidRPr="0003060E">
        <w:rPr>
          <w:rFonts w:cstheme="minorHAnsi"/>
        </w:rPr>
        <w:t xml:space="preserve"> (2019) 267 CLR 514, 540 [66].</w:t>
      </w:r>
    </w:p>
  </w:footnote>
  <w:footnote w:id="41">
    <w:p w14:paraId="0BAD6A0F" w14:textId="0BC92CF0" w:rsidR="00EB4CED" w:rsidRPr="0003060E" w:rsidRDefault="00EB4CED">
      <w:pPr>
        <w:pStyle w:val="FootnoteText"/>
        <w:rPr>
          <w:rFonts w:cstheme="minorHAnsi"/>
        </w:rPr>
      </w:pPr>
      <w:r w:rsidRPr="0003060E">
        <w:rPr>
          <w:rStyle w:val="FootnoteReference"/>
          <w:rFonts w:cstheme="minorHAnsi"/>
        </w:rPr>
        <w:footnoteRef/>
      </w:r>
      <w:r w:rsidRPr="0003060E">
        <w:rPr>
          <w:rFonts w:cstheme="minorHAnsi"/>
        </w:rPr>
        <w:t xml:space="preserve"> </w:t>
      </w:r>
      <w:r w:rsidR="00C17809" w:rsidRPr="0003060E">
        <w:rPr>
          <w:rFonts w:cstheme="minorHAnsi"/>
        </w:rPr>
        <w:t xml:space="preserve">Richard Garnett, ‘Third Parties and International Commercial Arbitration: Reframing the Debate’ (2023) 47(1) </w:t>
      </w:r>
      <w:r w:rsidR="00C17809" w:rsidRPr="0003060E">
        <w:rPr>
          <w:rFonts w:cstheme="minorHAnsi"/>
          <w:i/>
          <w:iCs/>
        </w:rPr>
        <w:t xml:space="preserve">Melbourne University Law Review </w:t>
      </w:r>
      <w:r w:rsidR="00C17809" w:rsidRPr="0003060E">
        <w:rPr>
          <w:rFonts w:cstheme="minorHAnsi"/>
        </w:rPr>
        <w:t>(advance), 154 and 168. He goes on to note that US and Singaporean courts, for example, seem to agree on the philosophical and practical differences between the two scenarios.</w:t>
      </w:r>
    </w:p>
  </w:footnote>
  <w:footnote w:id="42">
    <w:p w14:paraId="74173A91" w14:textId="53471FC9" w:rsidR="00762159" w:rsidRPr="0003060E" w:rsidRDefault="00762159">
      <w:pPr>
        <w:pStyle w:val="FootnoteText"/>
        <w:rPr>
          <w:rFonts w:cstheme="minorHAnsi"/>
        </w:rPr>
      </w:pPr>
      <w:r w:rsidRPr="0003060E">
        <w:rPr>
          <w:rStyle w:val="FootnoteReference"/>
          <w:rFonts w:cstheme="minorHAnsi"/>
        </w:rPr>
        <w:footnoteRef/>
      </w:r>
      <w:r w:rsidRPr="0003060E">
        <w:rPr>
          <w:rFonts w:cstheme="minorHAnsi"/>
        </w:rPr>
        <w:t xml:space="preserve"> Greater likelihood of inconsistent outcomes through multiple fora also arguably undermines the rule of law. Menon (n </w:t>
      </w:r>
      <w:r w:rsidR="00CC3A68" w:rsidRPr="0003060E">
        <w:rPr>
          <w:rFonts w:cstheme="minorHAnsi"/>
        </w:rPr>
        <w:t>3</w:t>
      </w:r>
      <w:r w:rsidR="00821827" w:rsidRPr="0003060E">
        <w:rPr>
          <w:rFonts w:cstheme="minorHAnsi"/>
        </w:rPr>
        <w:t>1</w:t>
      </w:r>
      <w:r w:rsidR="00CC3A68" w:rsidRPr="0003060E">
        <w:rPr>
          <w:rFonts w:cstheme="minorHAnsi"/>
        </w:rPr>
        <w:t>, 19-22</w:t>
      </w:r>
      <w:r w:rsidRPr="0003060E">
        <w:rPr>
          <w:rFonts w:cstheme="minorHAnsi"/>
        </w:rPr>
        <w:t xml:space="preserve">) contends that this accepted as attenuated in IA compared to litigation through courts, but partly because of IA’s relative cost and time efficiencies, yet those are </w:t>
      </w:r>
      <w:proofErr w:type="gramStart"/>
      <w:r w:rsidRPr="0003060E">
        <w:rPr>
          <w:rFonts w:cstheme="minorHAnsi"/>
        </w:rPr>
        <w:t>diminishing</w:t>
      </w:r>
      <w:proofErr w:type="gramEnd"/>
      <w:r w:rsidRPr="0003060E">
        <w:rPr>
          <w:rFonts w:cstheme="minorHAnsi"/>
        </w:rPr>
        <w:t xml:space="preserve"> and this therefore undermines the legitimacy of IA and the rule of law generally.</w:t>
      </w:r>
    </w:p>
  </w:footnote>
  <w:footnote w:id="43">
    <w:p w14:paraId="4E8A4833" w14:textId="02470B73" w:rsidR="00E425C1" w:rsidRPr="0003060E" w:rsidRDefault="00F16347">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0E464D" w:rsidRPr="0003060E">
        <w:rPr>
          <w:rFonts w:cstheme="minorHAnsi"/>
        </w:rPr>
        <w:fldChar w:fldCharType="begin"/>
      </w:r>
      <w:r w:rsidR="000E464D" w:rsidRPr="0003060E">
        <w:rPr>
          <w:rFonts w:cstheme="minorHAnsi"/>
        </w:rPr>
        <w:instrText xml:space="preserve"> ADDIN ZOTERO_ITEM CSL_CITATION {"citationID":"BUffzHIr","properties":{"formattedCitation":"Zhengxin Huo and Man Yip, \\uc0\\u8216{}Comparing the International Commercial Courts of China with the Singapore International Commercial Court\\uc0\\u8217{} (2019) 68(4) {\\i{}International &amp; Comparative Law Quarterly} 903.","plainCitation":"Zhengxin Huo and Man Yip, ‘Comparing the International Commercial Courts of China with the Singapore International Commercial Court’ (2019) 68(4) International &amp; Comparative Law Quarterly 903.","noteIndex":0},"citationItems":[{"id":3226,"uris":["http://zotero.org/users/local/V9R99Oe0/items/A2KLR9DK"],"uri":["http://zotero.org/users/local/V9R99Oe0/items/A2KLR9DK"],"itemData":{"id":3226,"type":"article-journal","abstract":"The article critically reviews the litigation framework of the Chinese International Commercial Court (‘CICC’) using a comparative approach, taking as a benchmark the Singapore International Commercial Court (‘SICC’)—another Asian international commercial court situated within the Belt and Road Initiative (‘BRI’) geography. It argues that the CICC, despite being lauded as a visionary step toward an innovative, efficient and trustworthy dispute resolution system, does not live up to those grand claims on closer scrutiny. The discussion shows that the CICC is in many respects insular and conservative when compared with the SICC. The distinctions between the two litigation frameworks may be explained by the differences in objectives. Whereas the SICC was created to compete for international judicial business and bolster Singapore as a leading dispute resolution hub, the CICC is presently designed to provide a legal safeguard in BRI disputes with Chinese elements. This article also identifies major challenges confronting the CICC and sets out proposals for change.","container-title":"International &amp; Comparative Law Quarterly","DOI":"10.1017/S0020589319000319","ISSN":"0020-5893, 1471-6895","issue":"4","language":"en","note":"publisher: Cambridge University Press","page":"903-942","source":"Cambridge University Press","title":"Comparing the International Commercial Courts of China with the Singapore International Commercial Court","volume":"68","author":[{"family":"Huo","given":"Zhengxin"},{"family":"Yip","given":"Man"}],"issued":{"date-parts":[["2019",10]]}}}],"schema":"https://github.com/citation-style-language/schema/raw/master/csl-citation.json"} </w:instrText>
      </w:r>
      <w:r w:rsidR="000E464D" w:rsidRPr="0003060E">
        <w:rPr>
          <w:rFonts w:cstheme="minorHAnsi"/>
        </w:rPr>
        <w:fldChar w:fldCharType="separate"/>
      </w:r>
      <w:proofErr w:type="spellStart"/>
      <w:r w:rsidR="000E464D" w:rsidRPr="0003060E">
        <w:rPr>
          <w:rFonts w:cstheme="minorHAnsi"/>
          <w:lang w:val="en-GB"/>
        </w:rPr>
        <w:t>Zhengxin</w:t>
      </w:r>
      <w:proofErr w:type="spellEnd"/>
      <w:r w:rsidR="000E464D" w:rsidRPr="0003060E">
        <w:rPr>
          <w:rFonts w:cstheme="minorHAnsi"/>
          <w:lang w:val="en-GB"/>
        </w:rPr>
        <w:t xml:space="preserve"> Huo and Man Yip, 'Comparing the International Commercial Courts of China with the Singapore International Commercial Court' (2019) 68(4) </w:t>
      </w:r>
      <w:r w:rsidR="000E464D" w:rsidRPr="0003060E">
        <w:rPr>
          <w:rFonts w:cstheme="minorHAnsi"/>
          <w:i/>
          <w:iCs/>
          <w:lang w:val="en-GB"/>
        </w:rPr>
        <w:t>International &amp; Comparative Law Quarterly</w:t>
      </w:r>
      <w:r w:rsidR="000E464D" w:rsidRPr="0003060E">
        <w:rPr>
          <w:rFonts w:cstheme="minorHAnsi"/>
          <w:lang w:val="en-GB"/>
        </w:rPr>
        <w:t xml:space="preserve"> 903</w:t>
      </w:r>
      <w:r w:rsidR="000E464D" w:rsidRPr="0003060E">
        <w:rPr>
          <w:rFonts w:cstheme="minorHAnsi"/>
        </w:rPr>
        <w:fldChar w:fldCharType="end"/>
      </w:r>
      <w:r w:rsidR="000E464D" w:rsidRPr="0003060E">
        <w:rPr>
          <w:rFonts w:cstheme="minorHAnsi"/>
          <w:lang w:val="en-US"/>
        </w:rPr>
        <w:t xml:space="preserve">; </w:t>
      </w:r>
      <w:r w:rsidR="000E464D" w:rsidRPr="0003060E">
        <w:rPr>
          <w:rFonts w:cstheme="minorHAnsi"/>
        </w:rPr>
        <w:t xml:space="preserve">Marilyn Warren and Clyde Croft, ‘An International Commercial Court for Australia: An Idea Worth Taking to Market’ in </w:t>
      </w:r>
      <w:r w:rsidR="003D30A5" w:rsidRPr="0003060E">
        <w:rPr>
          <w:rFonts w:cstheme="minorHAnsi"/>
        </w:rPr>
        <w:t xml:space="preserve">Luke Nottage, </w:t>
      </w:r>
      <w:r w:rsidR="000E464D" w:rsidRPr="0003060E">
        <w:rPr>
          <w:rFonts w:cstheme="minorHAnsi"/>
        </w:rPr>
        <w:t xml:space="preserve">Shahla Ali et al (eds), </w:t>
      </w:r>
      <w:r w:rsidR="000E464D" w:rsidRPr="0003060E">
        <w:rPr>
          <w:rFonts w:cstheme="minorHAnsi"/>
          <w:i/>
          <w:iCs/>
        </w:rPr>
        <w:t>New Frontiers in Asia-Pacific International Arbitration and Dispute Resolution</w:t>
      </w:r>
      <w:r w:rsidR="000E464D" w:rsidRPr="0003060E">
        <w:rPr>
          <w:rFonts w:cstheme="minorHAnsi"/>
        </w:rPr>
        <w:t xml:space="preserve"> (Wolters Kluwer, 202</w:t>
      </w:r>
      <w:r w:rsidR="001A178F" w:rsidRPr="0003060E">
        <w:rPr>
          <w:rFonts w:cstheme="minorHAnsi"/>
        </w:rPr>
        <w:t>1</w:t>
      </w:r>
      <w:r w:rsidR="000E464D" w:rsidRPr="0003060E">
        <w:rPr>
          <w:rFonts w:cstheme="minorHAnsi"/>
        </w:rPr>
        <w:t>) 39.</w:t>
      </w:r>
    </w:p>
  </w:footnote>
  <w:footnote w:id="44">
    <w:p w14:paraId="7BAC4702" w14:textId="39F8DCE5" w:rsidR="00451D97" w:rsidRPr="0003060E" w:rsidRDefault="00451D97" w:rsidP="000C2344">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0C2344" w:rsidRPr="0003060E">
        <w:rPr>
          <w:rFonts w:cstheme="minorHAnsi"/>
          <w:lang w:val="en-US"/>
        </w:rPr>
        <w:t xml:space="preserve">See, </w:t>
      </w:r>
      <w:proofErr w:type="spellStart"/>
      <w:r w:rsidR="000C2344" w:rsidRPr="0003060E">
        <w:rPr>
          <w:rFonts w:cstheme="minorHAnsi"/>
          <w:lang w:val="en-US"/>
        </w:rPr>
        <w:t>eg</w:t>
      </w:r>
      <w:proofErr w:type="spellEnd"/>
      <w:r w:rsidR="000C2344" w:rsidRPr="0003060E">
        <w:rPr>
          <w:rFonts w:cstheme="minorHAnsi"/>
          <w:lang w:val="en-US"/>
        </w:rPr>
        <w:t>, SICC list of judgments at &lt;</w:t>
      </w:r>
      <w:hyperlink r:id="rId14" w:history="1">
        <w:r w:rsidR="000C2344" w:rsidRPr="0003060E">
          <w:rPr>
            <w:rStyle w:val="Hyperlink"/>
            <w:rFonts w:cstheme="minorHAnsi"/>
            <w:lang w:val="en-US"/>
          </w:rPr>
          <w:t>https://www.sicc.gov.sg/hearings-judgments/judgments</w:t>
        </w:r>
      </w:hyperlink>
      <w:r w:rsidR="000C2344" w:rsidRPr="0003060E">
        <w:rPr>
          <w:rFonts w:cstheme="minorHAnsi"/>
          <w:lang w:val="en-US"/>
        </w:rPr>
        <w:t>&gt; and, regarding CICC, &lt;</w:t>
      </w:r>
      <w:hyperlink r:id="rId15" w:history="1">
        <w:r w:rsidR="000C2344" w:rsidRPr="0003060E">
          <w:rPr>
            <w:rStyle w:val="Hyperlink"/>
            <w:rFonts w:cstheme="minorHAnsi"/>
            <w:lang w:val="en-US"/>
          </w:rPr>
          <w:t>https://cicc.court.gov.cn/html/1/219/211/223/index.html</w:t>
        </w:r>
      </w:hyperlink>
      <w:r w:rsidR="000C2344" w:rsidRPr="0003060E">
        <w:rPr>
          <w:rFonts w:cstheme="minorHAnsi"/>
          <w:lang w:val="en-US"/>
        </w:rPr>
        <w:t>&gt;.</w:t>
      </w:r>
    </w:p>
  </w:footnote>
  <w:footnote w:id="45">
    <w:p w14:paraId="464F3AB5" w14:textId="4E6C1685" w:rsidR="00451D97" w:rsidRPr="0003060E" w:rsidRDefault="00451D97">
      <w:pPr>
        <w:pStyle w:val="FootnoteText"/>
        <w:rPr>
          <w:rFonts w:cstheme="minorHAnsi"/>
          <w:color w:val="000000" w:themeColor="text1"/>
          <w:lang w:val="en-US"/>
        </w:rPr>
      </w:pPr>
      <w:r w:rsidRPr="0003060E">
        <w:rPr>
          <w:rStyle w:val="FootnoteReference"/>
          <w:rFonts w:cstheme="minorHAnsi"/>
        </w:rPr>
        <w:footnoteRef/>
      </w:r>
      <w:r w:rsidRPr="0003060E">
        <w:rPr>
          <w:rFonts w:cstheme="minorHAnsi"/>
        </w:rPr>
        <w:t xml:space="preserve"> </w:t>
      </w:r>
      <w:r w:rsidR="003C1B4F" w:rsidRPr="0003060E">
        <w:rPr>
          <w:rFonts w:cstheme="minorHAnsi"/>
          <w:lang w:val="en-US"/>
        </w:rPr>
        <w:t>Comparing Singapore and Hong Kong for example, see Nadja Alexander, ‘</w:t>
      </w:r>
      <w:r w:rsidR="003C1B4F" w:rsidRPr="0003060E">
        <w:rPr>
          <w:rFonts w:cstheme="minorHAnsi"/>
        </w:rPr>
        <w:t xml:space="preserve">The Emergence of Mediation Law in Asia: A Tale of Two Cities’ (2021) 3 </w:t>
      </w:r>
      <w:r w:rsidR="003C1B4F" w:rsidRPr="0003060E">
        <w:rPr>
          <w:rFonts w:cstheme="minorHAnsi"/>
          <w:i/>
          <w:iCs/>
        </w:rPr>
        <w:t>Transnational Dispute Management</w:t>
      </w:r>
      <w:r w:rsidR="003C1B4F" w:rsidRPr="0003060E">
        <w:rPr>
          <w:rFonts w:cstheme="minorHAnsi"/>
        </w:rPr>
        <w:t xml:space="preserve"> 1.</w:t>
      </w:r>
    </w:p>
  </w:footnote>
  <w:footnote w:id="46">
    <w:p w14:paraId="2BAA587E" w14:textId="3483C1F1" w:rsidR="007F4E9F" w:rsidRPr="0003060E" w:rsidRDefault="00451D97" w:rsidP="00944F98">
      <w:pPr>
        <w:pStyle w:val="FootnoteText"/>
        <w:rPr>
          <w:rFonts w:cstheme="minorHAnsi"/>
          <w:lang w:val="en-US"/>
        </w:rPr>
      </w:pPr>
      <w:r w:rsidRPr="0003060E">
        <w:rPr>
          <w:rStyle w:val="FootnoteReference"/>
          <w:rFonts w:cstheme="minorHAnsi"/>
        </w:rPr>
        <w:footnoteRef/>
      </w:r>
      <w:r w:rsidR="00E974AC" w:rsidRPr="0003060E">
        <w:rPr>
          <w:rFonts w:cstheme="minorHAnsi"/>
        </w:rPr>
        <w:t xml:space="preserve"> Some context and possible reasons for this</w:t>
      </w:r>
      <w:r w:rsidR="00F759C3" w:rsidRPr="0003060E">
        <w:rPr>
          <w:rFonts w:cstheme="minorHAnsi"/>
        </w:rPr>
        <w:t xml:space="preserve"> slow uptake</w:t>
      </w:r>
      <w:r w:rsidR="00E974AC" w:rsidRPr="0003060E">
        <w:rPr>
          <w:rFonts w:cstheme="minorHAnsi"/>
        </w:rPr>
        <w:t xml:space="preserve"> are sketched below (Part 5).</w:t>
      </w:r>
      <w:r w:rsidRPr="0003060E">
        <w:rPr>
          <w:rFonts w:cstheme="minorHAnsi"/>
        </w:rPr>
        <w:t xml:space="preserve"> </w:t>
      </w:r>
      <w:r w:rsidR="004E3061" w:rsidRPr="0003060E">
        <w:rPr>
          <w:rFonts w:cstheme="minorHAnsi"/>
        </w:rPr>
        <w:t>Japan will become the 12</w:t>
      </w:r>
      <w:r w:rsidR="004E3061" w:rsidRPr="0003060E">
        <w:rPr>
          <w:rFonts w:cstheme="minorHAnsi"/>
          <w:vertAlign w:val="superscript"/>
        </w:rPr>
        <w:t>th</w:t>
      </w:r>
      <w:r w:rsidR="004E3061" w:rsidRPr="0003060E">
        <w:rPr>
          <w:rFonts w:cstheme="minorHAnsi"/>
        </w:rPr>
        <w:t xml:space="preserve"> state to bring the Convention into force (from April 2024). The only other significant economy and thought leader in international law, at least in Asia, has been Singapore itself. </w:t>
      </w:r>
      <w:r w:rsidR="00944F98" w:rsidRPr="0003060E">
        <w:rPr>
          <w:rFonts w:cstheme="minorHAnsi"/>
          <w:lang w:val="en-US"/>
        </w:rPr>
        <w:t>See status at &lt;</w:t>
      </w:r>
      <w:hyperlink r:id="rId16" w:history="1">
        <w:r w:rsidR="00944F98" w:rsidRPr="0003060E">
          <w:rPr>
            <w:rStyle w:val="Hyperlink"/>
            <w:rFonts w:cstheme="minorHAnsi"/>
            <w:lang w:val="en-US"/>
          </w:rPr>
          <w:t>https://uncitral.un.org/en/texts/mediation/conventions/international_settlement_agreements/status</w:t>
        </w:r>
      </w:hyperlink>
      <w:r w:rsidR="00944F98" w:rsidRPr="0003060E">
        <w:rPr>
          <w:rFonts w:cstheme="minorHAnsi"/>
          <w:lang w:val="en-US"/>
        </w:rPr>
        <w:t>&gt; and compare generally the more optimistic prognosis by Stacie Strong</w:t>
      </w:r>
      <w:r w:rsidR="003D30A5" w:rsidRPr="0003060E">
        <w:rPr>
          <w:rFonts w:cstheme="minorHAnsi"/>
          <w:lang w:val="en-US"/>
        </w:rPr>
        <w:t>, ‘</w:t>
      </w:r>
      <w:r w:rsidR="003D30A5" w:rsidRPr="0003060E">
        <w:rPr>
          <w:rFonts w:cstheme="minorHAnsi"/>
        </w:rPr>
        <w:t>Promoting International Mediation Through the Singapore Convention on Mediation’</w:t>
      </w:r>
      <w:r w:rsidR="003D30A5" w:rsidRPr="0003060E">
        <w:rPr>
          <w:rFonts w:cstheme="minorHAnsi"/>
          <w:lang w:val="en-US"/>
        </w:rPr>
        <w:t xml:space="preserve"> </w:t>
      </w:r>
      <w:r w:rsidR="003D30A5" w:rsidRPr="0003060E">
        <w:rPr>
          <w:rFonts w:cstheme="minorHAnsi"/>
        </w:rPr>
        <w:t xml:space="preserve">Luke Nottage, Shahla Ali et al (eds), </w:t>
      </w:r>
      <w:r w:rsidR="003D30A5" w:rsidRPr="0003060E">
        <w:rPr>
          <w:rFonts w:cstheme="minorHAnsi"/>
          <w:i/>
          <w:iCs/>
        </w:rPr>
        <w:t>New Frontiers in Asia-Pacific International Arbitration and Dispute Resolution</w:t>
      </w:r>
      <w:r w:rsidR="003D30A5" w:rsidRPr="0003060E">
        <w:rPr>
          <w:rFonts w:cstheme="minorHAnsi"/>
        </w:rPr>
        <w:t xml:space="preserve"> (Wolters Kluwer, 2021) 337.</w:t>
      </w:r>
    </w:p>
  </w:footnote>
  <w:footnote w:id="47">
    <w:p w14:paraId="129C9EEA" w14:textId="5162D3FD" w:rsidR="00DE092A" w:rsidRPr="0003060E" w:rsidRDefault="00DE092A">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E311F2" w:rsidRPr="0003060E">
        <w:rPr>
          <w:rFonts w:cstheme="minorHAnsi"/>
        </w:rPr>
        <w:t xml:space="preserve">Shahla F Ali, </w:t>
      </w:r>
      <w:r w:rsidR="00E311F2" w:rsidRPr="0003060E">
        <w:rPr>
          <w:rFonts w:cstheme="minorHAnsi"/>
          <w:i/>
          <w:iCs/>
        </w:rPr>
        <w:t>Resolving Disputes in the Asia-Pacific Region: International Arbitration and Mediation in East Asia and the West</w:t>
      </w:r>
      <w:r w:rsidR="00E311F2" w:rsidRPr="0003060E">
        <w:rPr>
          <w:rFonts w:cstheme="minorHAnsi"/>
        </w:rPr>
        <w:t xml:space="preserve"> (Routledge, 2010) </w:t>
      </w:r>
      <w:r w:rsidR="00E311F2" w:rsidRPr="0003060E">
        <w:rPr>
          <w:rFonts w:cstheme="minorHAnsi"/>
          <w:lang w:val="en-US"/>
        </w:rPr>
        <w:t>268.</w:t>
      </w:r>
      <w:r w:rsidR="00FD202C" w:rsidRPr="0003060E">
        <w:rPr>
          <w:rFonts w:cstheme="minorHAnsi"/>
          <w:lang w:val="en-US"/>
        </w:rPr>
        <w:t xml:space="preserve"> (Proceeding with cross-border litigation might be even more lucrative for lawyers, given the possibility of multiple appeals, but is precluded by the growing awareness of and popularity of IA.)</w:t>
      </w:r>
    </w:p>
  </w:footnote>
  <w:footnote w:id="48">
    <w:p w14:paraId="73E9125B" w14:textId="12BC2E39" w:rsidR="00613B79" w:rsidRPr="0003060E" w:rsidRDefault="00DE092A" w:rsidP="00613B79">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See</w:t>
      </w:r>
      <w:r w:rsidR="007F558C" w:rsidRPr="0003060E">
        <w:rPr>
          <w:rFonts w:cstheme="minorHAnsi"/>
          <w:lang w:val="en-US"/>
        </w:rPr>
        <w:t>,</w:t>
      </w:r>
      <w:r w:rsidRPr="0003060E">
        <w:rPr>
          <w:rFonts w:cstheme="minorHAnsi"/>
          <w:lang w:val="en-US"/>
        </w:rPr>
        <w:t xml:space="preserve"> </w:t>
      </w:r>
      <w:proofErr w:type="spellStart"/>
      <w:r w:rsidRPr="0003060E">
        <w:rPr>
          <w:rFonts w:cstheme="minorHAnsi"/>
          <w:lang w:val="en-US"/>
        </w:rPr>
        <w:t>eg</w:t>
      </w:r>
      <w:proofErr w:type="spellEnd"/>
      <w:r w:rsidR="007F558C" w:rsidRPr="0003060E">
        <w:rPr>
          <w:rFonts w:cstheme="minorHAnsi"/>
          <w:lang w:val="en-US"/>
        </w:rPr>
        <w:t>,</w:t>
      </w:r>
      <w:r w:rsidRPr="0003060E">
        <w:rPr>
          <w:rFonts w:cstheme="minorHAnsi"/>
          <w:lang w:val="en-US"/>
        </w:rPr>
        <w:t xml:space="preserve"> </w:t>
      </w:r>
      <w:r w:rsidR="00F65783" w:rsidRPr="0003060E">
        <w:rPr>
          <w:rFonts w:cstheme="minorHAnsi"/>
          <w:lang w:val="en-US"/>
        </w:rPr>
        <w:t>Tom Furlong and Kath Sanger, ‘</w:t>
      </w:r>
      <w:r w:rsidR="00B864D0" w:rsidRPr="0003060E">
        <w:rPr>
          <w:rFonts w:cstheme="minorHAnsi"/>
          <w:lang w:val="en-US"/>
        </w:rPr>
        <w:t>I</w:t>
      </w:r>
      <w:r w:rsidR="00330D3B" w:rsidRPr="0003060E">
        <w:rPr>
          <w:rFonts w:cstheme="minorHAnsi"/>
          <w:lang w:val="en-US"/>
        </w:rPr>
        <w:t>nside arbitration: beyond the hourly rate – what are the options?</w:t>
      </w:r>
      <w:r w:rsidR="00F65783" w:rsidRPr="0003060E">
        <w:rPr>
          <w:rFonts w:cstheme="minorHAnsi"/>
          <w:lang w:val="en-US"/>
        </w:rPr>
        <w:t>’</w:t>
      </w:r>
      <w:r w:rsidR="00330D3B" w:rsidRPr="0003060E">
        <w:rPr>
          <w:rFonts w:cstheme="minorHAnsi"/>
          <w:lang w:val="en-US"/>
        </w:rPr>
        <w:t xml:space="preserve">, </w:t>
      </w:r>
      <w:r w:rsidR="00330D3B" w:rsidRPr="0003060E">
        <w:rPr>
          <w:rFonts w:cstheme="minorHAnsi"/>
          <w:i/>
          <w:iCs/>
          <w:lang w:val="en-US"/>
        </w:rPr>
        <w:t>Herbert Smith Freehills</w:t>
      </w:r>
      <w:r w:rsidR="00900BC5" w:rsidRPr="0003060E">
        <w:rPr>
          <w:rFonts w:cstheme="minorHAnsi"/>
          <w:i/>
          <w:iCs/>
          <w:lang w:val="en-US"/>
        </w:rPr>
        <w:t xml:space="preserve"> </w:t>
      </w:r>
      <w:r w:rsidR="00900BC5" w:rsidRPr="0003060E">
        <w:rPr>
          <w:rFonts w:cstheme="minorHAnsi"/>
          <w:lang w:val="en-US"/>
        </w:rPr>
        <w:t>(Legal Briefing, 15 March 2023)</w:t>
      </w:r>
      <w:r w:rsidR="00475C8E" w:rsidRPr="0003060E">
        <w:rPr>
          <w:rFonts w:cstheme="minorHAnsi"/>
          <w:lang w:val="en-US"/>
        </w:rPr>
        <w:t xml:space="preserve"> &lt;</w:t>
      </w:r>
      <w:hyperlink r:id="rId17" w:history="1">
        <w:r w:rsidR="00475C8E" w:rsidRPr="0003060E">
          <w:rPr>
            <w:rStyle w:val="Hyperlink"/>
            <w:rFonts w:cstheme="minorHAnsi"/>
            <w:lang w:val="en-US"/>
          </w:rPr>
          <w:t>https://www.herbertsmithfreehills.com/insight/inside-arbitration-beyond-the-hourly-rate-%E2%80%93-what-are-the-options</w:t>
        </w:r>
      </w:hyperlink>
      <w:r w:rsidR="00475C8E" w:rsidRPr="0003060E">
        <w:rPr>
          <w:rFonts w:cstheme="minorHAnsi"/>
          <w:lang w:val="en-US"/>
        </w:rPr>
        <w:t>&gt;.</w:t>
      </w:r>
      <w:r w:rsidR="00E425C1" w:rsidRPr="0003060E">
        <w:rPr>
          <w:rFonts w:cstheme="minorHAnsi"/>
          <w:lang w:val="en-US"/>
        </w:rPr>
        <w:t xml:space="preserve"> </w:t>
      </w:r>
      <w:r w:rsidR="00613B79" w:rsidRPr="0003060E">
        <w:rPr>
          <w:rFonts w:cstheme="minorHAnsi"/>
          <w:sz w:val="22"/>
          <w:szCs w:val="22"/>
          <w:lang w:val="en-US"/>
        </w:rPr>
        <w:t xml:space="preserve">However, little changed after a leader arbitrator’s call over a decade ago to revisit the billable hours approach in IA, </w:t>
      </w:r>
      <w:proofErr w:type="gramStart"/>
      <w:r w:rsidR="00613B79" w:rsidRPr="0003060E">
        <w:rPr>
          <w:rFonts w:cstheme="minorHAnsi"/>
          <w:sz w:val="22"/>
          <w:szCs w:val="22"/>
          <w:lang w:val="en-US"/>
        </w:rPr>
        <w:t>in light of</w:t>
      </w:r>
      <w:proofErr w:type="gramEnd"/>
      <w:r w:rsidR="00613B79" w:rsidRPr="0003060E">
        <w:rPr>
          <w:rFonts w:cstheme="minorHAnsi"/>
          <w:sz w:val="22"/>
          <w:szCs w:val="22"/>
          <w:lang w:val="en-US"/>
        </w:rPr>
        <w:t xml:space="preserve"> growing costs and delays even then: Lucy Greenwood,</w:t>
      </w:r>
      <w:r w:rsidR="00613B79" w:rsidRPr="0003060E">
        <w:rPr>
          <w:rFonts w:cstheme="minorHAnsi"/>
          <w:sz w:val="22"/>
          <w:szCs w:val="22"/>
        </w:rPr>
        <w:t xml:space="preserve"> ‘Keeping the Golden Goose Alive: Could Alternative Fee Arrangements Reduce the</w:t>
      </w:r>
      <w:r w:rsidR="00613B79" w:rsidRPr="0003060E">
        <w:rPr>
          <w:rFonts w:cstheme="minorHAnsi"/>
          <w:sz w:val="22"/>
          <w:szCs w:val="22"/>
          <w:lang w:val="en-US"/>
        </w:rPr>
        <w:t xml:space="preserve"> </w:t>
      </w:r>
      <w:r w:rsidR="00613B79" w:rsidRPr="0003060E">
        <w:rPr>
          <w:rFonts w:cstheme="minorHAnsi"/>
          <w:sz w:val="22"/>
          <w:szCs w:val="22"/>
        </w:rPr>
        <w:t xml:space="preserve">Cost of International Arbitration?’ 28(6) </w:t>
      </w:r>
      <w:r w:rsidR="00613B79" w:rsidRPr="0003060E">
        <w:rPr>
          <w:rFonts w:cstheme="minorHAnsi"/>
          <w:i/>
          <w:iCs/>
          <w:sz w:val="22"/>
          <w:szCs w:val="22"/>
        </w:rPr>
        <w:t xml:space="preserve">Journal of International Arbitration </w:t>
      </w:r>
      <w:r w:rsidR="00613B79" w:rsidRPr="0003060E">
        <w:rPr>
          <w:rFonts w:cstheme="minorHAnsi"/>
          <w:sz w:val="22"/>
          <w:szCs w:val="22"/>
        </w:rPr>
        <w:t>591.</w:t>
      </w:r>
    </w:p>
  </w:footnote>
  <w:footnote w:id="49">
    <w:p w14:paraId="5248373A" w14:textId="47946351" w:rsidR="00682F31" w:rsidRPr="0003060E" w:rsidRDefault="00682F31" w:rsidP="00E1404F">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6F163F" w:rsidRPr="0003060E">
        <w:rPr>
          <w:rFonts w:cstheme="minorHAnsi"/>
          <w:lang w:val="en-US"/>
        </w:rPr>
        <w:t xml:space="preserve">See, </w:t>
      </w:r>
      <w:proofErr w:type="spellStart"/>
      <w:r w:rsidR="006F163F" w:rsidRPr="0003060E">
        <w:rPr>
          <w:rFonts w:cstheme="minorHAnsi"/>
          <w:lang w:val="en-US"/>
        </w:rPr>
        <w:t>eg</w:t>
      </w:r>
      <w:proofErr w:type="spellEnd"/>
      <w:r w:rsidR="006F163F" w:rsidRPr="0003060E">
        <w:rPr>
          <w:rFonts w:cstheme="minorHAnsi"/>
          <w:lang w:val="en-US"/>
        </w:rPr>
        <w:t xml:space="preserve">, Simon Greenberg, Christopher Kee and J Romesh Weeramantry, </w:t>
      </w:r>
      <w:r w:rsidR="006F163F" w:rsidRPr="0003060E">
        <w:rPr>
          <w:rFonts w:cstheme="minorHAnsi"/>
          <w:i/>
          <w:iCs/>
          <w:lang w:val="en-US"/>
        </w:rPr>
        <w:t>International Commercial Arbitration: An Asia-Pacific Perspective</w:t>
      </w:r>
      <w:r w:rsidR="006F163F" w:rsidRPr="0003060E">
        <w:rPr>
          <w:rFonts w:cstheme="minorHAnsi"/>
          <w:lang w:val="en-US"/>
        </w:rPr>
        <w:t xml:space="preserve"> (Cambridge University Press, 2012) 405-7, and</w:t>
      </w:r>
      <w:r w:rsidR="00F65BF1" w:rsidRPr="0003060E">
        <w:rPr>
          <w:rFonts w:cstheme="minorHAnsi"/>
          <w:lang w:val="en-US"/>
        </w:rPr>
        <w:t xml:space="preserve"> (for ISA)</w:t>
      </w:r>
      <w:r w:rsidR="006F163F" w:rsidRPr="0003060E">
        <w:rPr>
          <w:rFonts w:cstheme="minorHAnsi"/>
          <w:lang w:val="en-US"/>
        </w:rPr>
        <w:t xml:space="preserve"> </w:t>
      </w:r>
      <w:r w:rsidR="006F163F" w:rsidRPr="0003060E">
        <w:rPr>
          <w:rFonts w:cstheme="minorHAnsi"/>
        </w:rPr>
        <w:t xml:space="preserve">Gabriel Bottini et al, ‘Excessive Costs and Recoverability of Cost Awards in Investment Arbitration’ (2020) 21(2-3) </w:t>
      </w:r>
      <w:r w:rsidR="006F163F" w:rsidRPr="0003060E">
        <w:rPr>
          <w:rFonts w:cstheme="minorHAnsi"/>
          <w:i/>
          <w:iCs/>
        </w:rPr>
        <w:t>Journal of World Investment &amp; Trade</w:t>
      </w:r>
      <w:r w:rsidR="006F163F" w:rsidRPr="0003060E">
        <w:rPr>
          <w:rFonts w:cstheme="minorHAnsi"/>
        </w:rPr>
        <w:t xml:space="preserve"> 251</w:t>
      </w:r>
      <w:r w:rsidR="006F163F" w:rsidRPr="0003060E">
        <w:rPr>
          <w:rFonts w:cstheme="minorHAnsi"/>
          <w:lang w:val="en-US"/>
        </w:rPr>
        <w:t xml:space="preserve">. The sealed offer practice was validated by </w:t>
      </w:r>
      <w:r w:rsidR="006F163F" w:rsidRPr="0003060E">
        <w:rPr>
          <w:rFonts w:cstheme="minorHAnsi"/>
          <w:i/>
          <w:iCs/>
          <w:lang w:val="en-US"/>
        </w:rPr>
        <w:t xml:space="preserve">Calderbank v Calderbank </w:t>
      </w:r>
      <w:r w:rsidR="006F163F" w:rsidRPr="0003060E">
        <w:rPr>
          <w:rFonts w:cstheme="minorHAnsi"/>
          <w:lang w:val="en-US"/>
        </w:rPr>
        <w:t xml:space="preserve">[1975] 3 All ER and is now reflected </w:t>
      </w:r>
      <w:r w:rsidR="00562B06" w:rsidRPr="0003060E">
        <w:rPr>
          <w:rFonts w:cstheme="minorHAnsi"/>
          <w:lang w:val="en-US"/>
        </w:rPr>
        <w:t xml:space="preserve">in </w:t>
      </w:r>
      <w:r w:rsidR="00AC5E59" w:rsidRPr="0003060E">
        <w:rPr>
          <w:rFonts w:cstheme="minorHAnsi"/>
          <w:lang w:val="en-US"/>
        </w:rPr>
        <w:t xml:space="preserve">England for example in </w:t>
      </w:r>
      <w:r w:rsidR="00A52E69" w:rsidRPr="0003060E">
        <w:rPr>
          <w:rFonts w:cstheme="minorHAnsi"/>
          <w:i/>
          <w:iCs/>
          <w:lang w:val="en-US"/>
        </w:rPr>
        <w:t>MEF v. St. George's Healthcare NHS Trust</w:t>
      </w:r>
      <w:r w:rsidR="00A52E69" w:rsidRPr="0003060E">
        <w:rPr>
          <w:rFonts w:cstheme="minorHAnsi"/>
          <w:lang w:val="en-US"/>
        </w:rPr>
        <w:t xml:space="preserve"> [2020] EWHC 1300 (QB)</w:t>
      </w:r>
      <w:r w:rsidR="006F163F" w:rsidRPr="0003060E">
        <w:rPr>
          <w:rFonts w:cstheme="minorHAnsi"/>
          <w:lang w:val="en-US"/>
        </w:rPr>
        <w:t xml:space="preserve"> and </w:t>
      </w:r>
      <w:r w:rsidR="00AC5E59" w:rsidRPr="0003060E">
        <w:rPr>
          <w:rFonts w:cstheme="minorHAnsi"/>
          <w:lang w:val="en-US"/>
        </w:rPr>
        <w:t>in Australia in</w:t>
      </w:r>
      <w:r w:rsidR="00F65BF1" w:rsidRPr="0003060E">
        <w:rPr>
          <w:rFonts w:cstheme="minorHAnsi"/>
          <w:lang w:val="en-US"/>
        </w:rPr>
        <w:t xml:space="preserve">, </w:t>
      </w:r>
      <w:proofErr w:type="spellStart"/>
      <w:r w:rsidR="00F65BF1" w:rsidRPr="0003060E">
        <w:rPr>
          <w:rFonts w:cstheme="minorHAnsi"/>
          <w:lang w:val="en-US"/>
        </w:rPr>
        <w:t>eg</w:t>
      </w:r>
      <w:proofErr w:type="spellEnd"/>
      <w:r w:rsidR="00F65BF1" w:rsidRPr="0003060E">
        <w:rPr>
          <w:rFonts w:cstheme="minorHAnsi"/>
          <w:lang w:val="en-US"/>
        </w:rPr>
        <w:t xml:space="preserve">, </w:t>
      </w:r>
      <w:r w:rsidR="00427133" w:rsidRPr="0003060E">
        <w:rPr>
          <w:rFonts w:cstheme="minorHAnsi"/>
          <w:i/>
          <w:iCs/>
          <w:lang w:val="en-US"/>
        </w:rPr>
        <w:t xml:space="preserve">Hazeldene’s Chicken Farm Pty Ltd v Victorian </w:t>
      </w:r>
      <w:proofErr w:type="spellStart"/>
      <w:r w:rsidR="00427133" w:rsidRPr="0003060E">
        <w:rPr>
          <w:rFonts w:cstheme="minorHAnsi"/>
          <w:i/>
          <w:iCs/>
          <w:lang w:val="en-US"/>
        </w:rPr>
        <w:t>WorkCover</w:t>
      </w:r>
      <w:proofErr w:type="spellEnd"/>
      <w:r w:rsidR="00427133" w:rsidRPr="0003060E">
        <w:rPr>
          <w:rFonts w:cstheme="minorHAnsi"/>
          <w:i/>
          <w:iCs/>
          <w:lang w:val="en-US"/>
        </w:rPr>
        <w:t xml:space="preserve"> Authority (No 2)</w:t>
      </w:r>
      <w:r w:rsidR="00427133" w:rsidRPr="0003060E">
        <w:rPr>
          <w:rFonts w:cstheme="minorHAnsi"/>
          <w:lang w:val="en-US"/>
        </w:rPr>
        <w:t xml:space="preserve"> [2005] VSCA 298.</w:t>
      </w:r>
    </w:p>
  </w:footnote>
  <w:footnote w:id="50">
    <w:p w14:paraId="60B6DE60" w14:textId="160322DE" w:rsidR="007D332B" w:rsidRPr="0003060E" w:rsidRDefault="007D332B" w:rsidP="003B45D1">
      <w:pPr>
        <w:pStyle w:val="Default"/>
        <w:rPr>
          <w:rFonts w:asciiTheme="minorHAnsi" w:hAnsiTheme="minorHAnsi" w:cstheme="minorHAnsi"/>
          <w:sz w:val="20"/>
          <w:szCs w:val="20"/>
        </w:rPr>
      </w:pPr>
      <w:r w:rsidRPr="0003060E">
        <w:rPr>
          <w:rStyle w:val="FootnoteReference"/>
          <w:rFonts w:asciiTheme="minorHAnsi" w:hAnsiTheme="minorHAnsi" w:cstheme="minorHAnsi"/>
          <w:sz w:val="20"/>
          <w:szCs w:val="20"/>
        </w:rPr>
        <w:footnoteRef/>
      </w:r>
      <w:r w:rsidRPr="0003060E">
        <w:rPr>
          <w:rFonts w:asciiTheme="minorHAnsi" w:hAnsiTheme="minorHAnsi" w:cstheme="minorHAnsi"/>
          <w:sz w:val="20"/>
          <w:szCs w:val="20"/>
        </w:rPr>
        <w:t xml:space="preserve"> </w:t>
      </w:r>
      <w:r w:rsidR="003B45D1" w:rsidRPr="0003060E">
        <w:rPr>
          <w:rFonts w:asciiTheme="minorHAnsi" w:hAnsiTheme="minorHAnsi" w:cstheme="minorHAnsi"/>
          <w:sz w:val="20"/>
          <w:szCs w:val="20"/>
          <w:lang w:val="en-US"/>
        </w:rPr>
        <w:t>Schedule 1 on “General Arbitration Procedure” states that “</w:t>
      </w:r>
      <w:r w:rsidR="003B45D1" w:rsidRPr="0003060E">
        <w:rPr>
          <w:rFonts w:asciiTheme="minorHAnsi" w:hAnsiTheme="minorHAnsi" w:cstheme="minorHAnsi"/>
          <w:sz w:val="20"/>
          <w:szCs w:val="20"/>
        </w:rPr>
        <w:t>The Arbitrator may make such directions or rulings he or she considers appropriate, including in respect of … 10 The service of offers of settlement without prejudice except as to costs”.</w:t>
      </w:r>
    </w:p>
  </w:footnote>
  <w:footnote w:id="51">
    <w:p w14:paraId="598BE469" w14:textId="404E9DBF" w:rsidR="006C3CA1" w:rsidRPr="0003060E" w:rsidRDefault="006C3CA1">
      <w:pPr>
        <w:pStyle w:val="FootnoteText"/>
        <w:rPr>
          <w:rFonts w:cstheme="minorHAnsi"/>
        </w:rPr>
      </w:pPr>
      <w:r w:rsidRPr="0003060E">
        <w:rPr>
          <w:rStyle w:val="FootnoteReference"/>
          <w:rFonts w:cstheme="minorHAnsi"/>
        </w:rPr>
        <w:footnoteRef/>
      </w:r>
      <w:r w:rsidRPr="0003060E">
        <w:rPr>
          <w:rFonts w:cstheme="minorHAnsi"/>
        </w:rPr>
        <w:t xml:space="preserve"> The same provision is found in the New Zealand Dispute Resolution Centre’s 2018 Standard Arbitration Rules (Art 37l.5), available via &lt;https://nziac.com/arbitration/arbitration-rules/standard-arbitration-rules/&gt; and &lt;https://nzdrc.co.nz/arbitration/standard-arbitration-rules/&gt;.</w:t>
      </w:r>
    </w:p>
  </w:footnote>
  <w:footnote w:id="52">
    <w:p w14:paraId="4FAF9152" w14:textId="77777777" w:rsidR="006C3CA1" w:rsidRPr="0003060E" w:rsidRDefault="006C3CA1" w:rsidP="006C3CA1">
      <w:pPr>
        <w:pStyle w:val="FootnoteText"/>
        <w:rPr>
          <w:rFonts w:cstheme="minorHAnsi"/>
        </w:rPr>
      </w:pPr>
      <w:r w:rsidRPr="0003060E">
        <w:rPr>
          <w:rStyle w:val="FootnoteReference"/>
          <w:rFonts w:cstheme="minorHAnsi"/>
        </w:rPr>
        <w:footnoteRef/>
      </w:r>
      <w:r w:rsidRPr="0003060E">
        <w:rPr>
          <w:rFonts w:cstheme="minorHAnsi"/>
        </w:rPr>
        <w:t xml:space="preserve"> ICC Commission on Arbitration and ADR, </w:t>
      </w:r>
      <w:r w:rsidRPr="0003060E">
        <w:rPr>
          <w:rFonts w:cstheme="minorHAnsi"/>
          <w:i/>
          <w:iCs/>
        </w:rPr>
        <w:t xml:space="preserve">Effective Conflict Management </w:t>
      </w:r>
      <w:r w:rsidRPr="0003060E">
        <w:rPr>
          <w:rFonts w:cstheme="minorHAnsi"/>
        </w:rPr>
        <w:t>(July 2023) via &lt;</w:t>
      </w:r>
      <w:hyperlink r:id="rId18" w:history="1">
        <w:r w:rsidRPr="0003060E">
          <w:rPr>
            <w:rStyle w:val="Hyperlink"/>
            <w:rFonts w:cstheme="minorHAnsi"/>
          </w:rPr>
          <w:t>https://iccwbo.org/new-report-and-guide-to-drive-thought-leadership-in-dispute-prevention-and-resolution/</w:t>
        </w:r>
      </w:hyperlink>
      <w:r w:rsidRPr="0003060E">
        <w:rPr>
          <w:rFonts w:cstheme="minorHAnsi"/>
        </w:rPr>
        <w:t xml:space="preserve">&gt;, 39-40. This report further alerts readers (at its n64) to C </w:t>
      </w:r>
      <w:proofErr w:type="spellStart"/>
      <w:r w:rsidRPr="0003060E">
        <w:rPr>
          <w:rFonts w:cstheme="minorHAnsi"/>
        </w:rPr>
        <w:t>Seppolo</w:t>
      </w:r>
      <w:proofErr w:type="spellEnd"/>
      <w:r w:rsidRPr="0003060E">
        <w:rPr>
          <w:rFonts w:cstheme="minorHAnsi"/>
        </w:rPr>
        <w:t xml:space="preserve"> et al, The New Assistance the ICC Provides to Protect the Confidentiality of a Sealed Offer’ [2017-1] </w:t>
      </w:r>
      <w:r w:rsidRPr="0003060E">
        <w:rPr>
          <w:rFonts w:cstheme="minorHAnsi"/>
          <w:i/>
          <w:iCs/>
        </w:rPr>
        <w:t>ICC Dispute Resolution Bulletin</w:t>
      </w:r>
      <w:r w:rsidRPr="0003060E">
        <w:rPr>
          <w:rFonts w:cstheme="minorHAnsi"/>
        </w:rPr>
        <w:t xml:space="preserve">. </w:t>
      </w:r>
    </w:p>
  </w:footnote>
  <w:footnote w:id="53">
    <w:p w14:paraId="7B2C15E9" w14:textId="3802E5B8" w:rsidR="00F65BF1" w:rsidRPr="0003060E" w:rsidRDefault="00F65BF1">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F91971" w:rsidRPr="0003060E">
        <w:rPr>
          <w:rFonts w:cstheme="minorHAnsi"/>
          <w:lang w:val="en-US"/>
        </w:rPr>
        <w:t>But see</w:t>
      </w:r>
      <w:r w:rsidR="00507336" w:rsidRPr="0003060E">
        <w:rPr>
          <w:rFonts w:cstheme="minorHAnsi"/>
          <w:lang w:val="en-US"/>
        </w:rPr>
        <w:t xml:space="preserve"> briefly,</w:t>
      </w:r>
      <w:r w:rsidR="00F91971" w:rsidRPr="0003060E">
        <w:rPr>
          <w:rFonts w:cstheme="minorHAnsi"/>
          <w:lang w:val="en-US"/>
        </w:rPr>
        <w:t xml:space="preserve"> </w:t>
      </w:r>
      <w:proofErr w:type="spellStart"/>
      <w:r w:rsidR="00F91971" w:rsidRPr="0003060E">
        <w:rPr>
          <w:rFonts w:cstheme="minorHAnsi"/>
          <w:lang w:val="en-US"/>
        </w:rPr>
        <w:t>eg</w:t>
      </w:r>
      <w:proofErr w:type="spellEnd"/>
      <w:r w:rsidR="00507336" w:rsidRPr="0003060E">
        <w:rPr>
          <w:rFonts w:cstheme="minorHAnsi"/>
          <w:lang w:val="en-US"/>
        </w:rPr>
        <w:t>,</w:t>
      </w:r>
      <w:r w:rsidR="00F91971" w:rsidRPr="0003060E">
        <w:rPr>
          <w:rFonts w:cstheme="minorHAnsi"/>
          <w:lang w:val="en-US"/>
        </w:rPr>
        <w:t xml:space="preserve"> Bottini et al (n </w:t>
      </w:r>
      <w:r w:rsidR="005D1DDB" w:rsidRPr="0003060E">
        <w:rPr>
          <w:rFonts w:cstheme="minorHAnsi"/>
          <w:lang w:val="en-US"/>
        </w:rPr>
        <w:t>47</w:t>
      </w:r>
      <w:r w:rsidR="00F91971" w:rsidRPr="0003060E">
        <w:rPr>
          <w:rFonts w:cstheme="minorHAnsi"/>
          <w:lang w:val="en-US"/>
        </w:rPr>
        <w:t>) 269.</w:t>
      </w:r>
    </w:p>
  </w:footnote>
  <w:footnote w:id="54">
    <w:p w14:paraId="5DD852F7" w14:textId="52B0F66E" w:rsidR="007D332B" w:rsidRPr="0003060E" w:rsidRDefault="007D332B">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Nottage</w:t>
      </w:r>
      <w:r w:rsidR="00821827" w:rsidRPr="0003060E">
        <w:rPr>
          <w:rFonts w:cstheme="minorHAnsi"/>
          <w:lang w:val="en-US"/>
        </w:rPr>
        <w:t xml:space="preserve">, </w:t>
      </w:r>
      <w:proofErr w:type="spellStart"/>
      <w:r w:rsidR="00821827" w:rsidRPr="0003060E">
        <w:rPr>
          <w:rFonts w:cstheme="minorHAnsi"/>
          <w:lang w:val="en-US"/>
        </w:rPr>
        <w:t>Dreosti</w:t>
      </w:r>
      <w:proofErr w:type="spellEnd"/>
      <w:r w:rsidR="00821827" w:rsidRPr="0003060E">
        <w:rPr>
          <w:rFonts w:cstheme="minorHAnsi"/>
          <w:lang w:val="en-US"/>
        </w:rPr>
        <w:t xml:space="preserve"> and Tang </w:t>
      </w:r>
      <w:r w:rsidR="00AB4420" w:rsidRPr="0003060E">
        <w:rPr>
          <w:rFonts w:cstheme="minorHAnsi"/>
          <w:lang w:val="en-US"/>
        </w:rPr>
        <w:t>(n 3</w:t>
      </w:r>
      <w:r w:rsidR="00821827" w:rsidRPr="0003060E">
        <w:rPr>
          <w:rFonts w:cstheme="minorHAnsi"/>
          <w:lang w:val="en-US"/>
        </w:rPr>
        <w:t>5</w:t>
      </w:r>
      <w:r w:rsidR="00AB4420" w:rsidRPr="0003060E">
        <w:rPr>
          <w:rFonts w:cstheme="minorHAnsi"/>
          <w:lang w:val="en-US"/>
        </w:rPr>
        <w:t xml:space="preserve">) </w:t>
      </w:r>
      <w:r w:rsidR="00AD1119" w:rsidRPr="0003060E">
        <w:rPr>
          <w:rFonts w:cstheme="minorHAnsi"/>
          <w:lang w:val="en-US"/>
        </w:rPr>
        <w:t>790-1.</w:t>
      </w:r>
    </w:p>
  </w:footnote>
  <w:footnote w:id="55">
    <w:p w14:paraId="0D20B2AF" w14:textId="1FC4EAB6" w:rsidR="00BE5554" w:rsidRPr="0003060E" w:rsidRDefault="00BE5554">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Available</w:t>
      </w:r>
      <w:r w:rsidR="00A73304" w:rsidRPr="0003060E">
        <w:rPr>
          <w:rFonts w:cstheme="minorHAnsi"/>
          <w:lang w:val="en-US"/>
        </w:rPr>
        <w:t>, along with the other Arbitration Rules cited herein,</w:t>
      </w:r>
      <w:r w:rsidRPr="0003060E">
        <w:rPr>
          <w:rFonts w:cstheme="minorHAnsi"/>
          <w:lang w:val="en-US"/>
        </w:rPr>
        <w:t xml:space="preserve"> via </w:t>
      </w:r>
      <w:r w:rsidR="00537F50" w:rsidRPr="0003060E">
        <w:rPr>
          <w:rFonts w:cstheme="minorHAnsi"/>
          <w:lang w:val="en-US"/>
        </w:rPr>
        <w:t>‘Dispute Resolution Rules</w:t>
      </w:r>
      <w:r w:rsidR="0054581C" w:rsidRPr="0003060E">
        <w:rPr>
          <w:rFonts w:cstheme="minorHAnsi"/>
          <w:lang w:val="en-US"/>
        </w:rPr>
        <w:t xml:space="preserve">’, </w:t>
      </w:r>
      <w:r w:rsidR="0054581C" w:rsidRPr="0003060E">
        <w:rPr>
          <w:rFonts w:cstheme="minorHAnsi"/>
          <w:i/>
          <w:iCs/>
          <w:lang w:val="en-US"/>
        </w:rPr>
        <w:t>Resolution Institute</w:t>
      </w:r>
      <w:r w:rsidR="003C7DB9" w:rsidRPr="0003060E">
        <w:rPr>
          <w:rFonts w:cstheme="minorHAnsi"/>
          <w:lang w:val="en-US"/>
        </w:rPr>
        <w:t xml:space="preserve"> (Web Page)</w:t>
      </w:r>
      <w:r w:rsidR="0054581C" w:rsidRPr="0003060E">
        <w:rPr>
          <w:rFonts w:cstheme="minorHAnsi"/>
          <w:i/>
          <w:iCs/>
          <w:lang w:val="en-US"/>
        </w:rPr>
        <w:t xml:space="preserve"> </w:t>
      </w:r>
      <w:r w:rsidR="003C7DB9" w:rsidRPr="0003060E">
        <w:rPr>
          <w:rFonts w:cstheme="minorHAnsi"/>
          <w:i/>
          <w:iCs/>
          <w:lang w:val="en-US"/>
        </w:rPr>
        <w:t>&lt;</w:t>
      </w:r>
      <w:hyperlink r:id="rId19" w:history="1">
        <w:r w:rsidR="003C7DB9" w:rsidRPr="0003060E">
          <w:rPr>
            <w:rStyle w:val="Hyperlink"/>
            <w:rFonts w:cstheme="minorHAnsi"/>
            <w:lang w:val="en-US"/>
          </w:rPr>
          <w:t>https://resolution.institute/Web/Web/Public-In-Dispute/Rules-and-Regulations/Rules-and-Regulations.aspx</w:t>
        </w:r>
      </w:hyperlink>
      <w:r w:rsidR="003C7DB9" w:rsidRPr="0003060E">
        <w:rPr>
          <w:rFonts w:cstheme="minorHAnsi"/>
          <w:lang w:val="en-US"/>
        </w:rPr>
        <w:t>&gt;</w:t>
      </w:r>
      <w:r w:rsidRPr="0003060E">
        <w:rPr>
          <w:rFonts w:cstheme="minorHAnsi"/>
          <w:lang w:val="en-US"/>
        </w:rPr>
        <w:t xml:space="preserve"> (emphasis added).</w:t>
      </w:r>
    </w:p>
  </w:footnote>
  <w:footnote w:id="56">
    <w:p w14:paraId="502470ED" w14:textId="344911A9" w:rsidR="00C85C98" w:rsidRPr="0003060E" w:rsidRDefault="00C85C98">
      <w:pPr>
        <w:pStyle w:val="FootnoteText"/>
        <w:rPr>
          <w:rFonts w:cstheme="minorHAnsi"/>
          <w:lang w:val="en-US"/>
        </w:rPr>
      </w:pPr>
      <w:r w:rsidRPr="0003060E">
        <w:rPr>
          <w:rStyle w:val="FootnoteReference"/>
          <w:rFonts w:cstheme="minorHAnsi"/>
        </w:rPr>
        <w:footnoteRef/>
      </w:r>
      <w:r w:rsidRPr="0003060E">
        <w:rPr>
          <w:rFonts w:cstheme="minorHAnsi"/>
        </w:rPr>
        <w:t xml:space="preserve"> Available at </w:t>
      </w:r>
      <w:r w:rsidR="004A7F2A" w:rsidRPr="0003060E">
        <w:rPr>
          <w:rFonts w:cstheme="minorHAnsi"/>
        </w:rPr>
        <w:t xml:space="preserve">‘Resolution Institute Arbitration Rules 2023’, </w:t>
      </w:r>
      <w:r w:rsidR="004A7F2A" w:rsidRPr="0003060E">
        <w:rPr>
          <w:rFonts w:cstheme="minorHAnsi"/>
          <w:i/>
          <w:iCs/>
        </w:rPr>
        <w:t xml:space="preserve">Resolution Institute </w:t>
      </w:r>
      <w:r w:rsidR="004A7F2A" w:rsidRPr="0003060E">
        <w:rPr>
          <w:rFonts w:cstheme="minorHAnsi"/>
        </w:rPr>
        <w:t>(Explanatory Note, 2023) &lt;</w:t>
      </w:r>
      <w:hyperlink r:id="rId20" w:history="1">
        <w:r w:rsidR="004A7F2A" w:rsidRPr="0003060E">
          <w:rPr>
            <w:rStyle w:val="Hyperlink"/>
            <w:rFonts w:cstheme="minorHAnsi"/>
          </w:rPr>
          <w:t>https://resolution.institute/common/Uploaded%20files/Rules%20and%20Regulations/Arbitration%20Rules%202023%20Explanatory-note%20.pdf</w:t>
        </w:r>
      </w:hyperlink>
      <w:r w:rsidR="004A7F2A" w:rsidRPr="0003060E">
        <w:rPr>
          <w:rFonts w:cstheme="minorHAnsi"/>
        </w:rPr>
        <w:t>&gt;</w:t>
      </w:r>
      <w:r w:rsidRPr="0003060E">
        <w:rPr>
          <w:rFonts w:cstheme="minorHAnsi"/>
        </w:rPr>
        <w:t xml:space="preserve">. </w:t>
      </w:r>
    </w:p>
  </w:footnote>
  <w:footnote w:id="57">
    <w:p w14:paraId="11F71C78" w14:textId="7CAD4D4B" w:rsidR="00D635DC" w:rsidRPr="0003060E" w:rsidRDefault="00D635DC">
      <w:pPr>
        <w:pStyle w:val="FootnoteText"/>
        <w:rPr>
          <w:rFonts w:cstheme="minorHAnsi"/>
          <w:lang w:val="en-US"/>
        </w:rPr>
      </w:pPr>
      <w:r w:rsidRPr="0003060E">
        <w:rPr>
          <w:rStyle w:val="FootnoteReference"/>
          <w:rFonts w:cstheme="minorHAnsi"/>
        </w:rPr>
        <w:footnoteRef/>
      </w:r>
      <w:r w:rsidRPr="0003060E">
        <w:rPr>
          <w:rFonts w:cstheme="minorHAnsi"/>
        </w:rPr>
        <w:t xml:space="preserve"> See </w:t>
      </w:r>
      <w:r w:rsidR="009922FE" w:rsidRPr="0003060E">
        <w:rPr>
          <w:rFonts w:cstheme="minorHAnsi"/>
        </w:rPr>
        <w:t>Shahla F</w:t>
      </w:r>
      <w:r w:rsidR="00641AF9" w:rsidRPr="0003060E">
        <w:rPr>
          <w:rFonts w:cstheme="minorHAnsi"/>
        </w:rPr>
        <w:t xml:space="preserve"> </w:t>
      </w:r>
      <w:r w:rsidR="009922FE" w:rsidRPr="0003060E">
        <w:rPr>
          <w:rFonts w:cstheme="minorHAnsi"/>
          <w:lang w:val="en-US"/>
        </w:rPr>
        <w:t xml:space="preserve">Ali, </w:t>
      </w:r>
      <w:r w:rsidR="009922FE" w:rsidRPr="0003060E">
        <w:rPr>
          <w:rFonts w:cstheme="minorHAnsi"/>
          <w:i/>
          <w:iCs/>
          <w:lang w:val="en-US"/>
        </w:rPr>
        <w:t>Resolving Disputes in the Asia-Pacific Region: International Arbitration and Mediation in East Asia and the West</w:t>
      </w:r>
      <w:r w:rsidR="009922FE" w:rsidRPr="0003060E">
        <w:rPr>
          <w:rFonts w:cstheme="minorHAnsi"/>
          <w:lang w:val="en-US"/>
        </w:rPr>
        <w:t xml:space="preserve"> (Routledge, 1</w:t>
      </w:r>
      <w:r w:rsidR="00673C65" w:rsidRPr="0003060E">
        <w:rPr>
          <w:rFonts w:cstheme="minorHAnsi"/>
          <w:vertAlign w:val="superscript"/>
          <w:lang w:val="en-US"/>
        </w:rPr>
        <w:t>st</w:t>
      </w:r>
      <w:r w:rsidR="00673C65" w:rsidRPr="0003060E">
        <w:rPr>
          <w:rFonts w:cstheme="minorHAnsi"/>
          <w:lang w:val="en-US"/>
        </w:rPr>
        <w:t xml:space="preserve"> </w:t>
      </w:r>
      <w:r w:rsidR="009922FE" w:rsidRPr="0003060E">
        <w:rPr>
          <w:rFonts w:cstheme="minorHAnsi"/>
          <w:lang w:val="en-US"/>
        </w:rPr>
        <w:t>ed, 2010)</w:t>
      </w:r>
      <w:r w:rsidR="00C74CDB" w:rsidRPr="0003060E">
        <w:rPr>
          <w:rFonts w:cstheme="minorHAnsi"/>
          <w:lang w:val="en-US"/>
        </w:rPr>
        <w:t xml:space="preserve"> 50, 53</w:t>
      </w:r>
      <w:r w:rsidRPr="0003060E">
        <w:rPr>
          <w:rFonts w:cstheme="minorHAnsi"/>
          <w:lang w:val="en-US"/>
        </w:rPr>
        <w:t xml:space="preserve">; and QMUL surveys </w:t>
      </w:r>
      <w:proofErr w:type="spellStart"/>
      <w:r w:rsidRPr="0003060E">
        <w:rPr>
          <w:rFonts w:cstheme="minorHAnsi"/>
          <w:lang w:val="en-US"/>
        </w:rPr>
        <w:t>summarised</w:t>
      </w:r>
      <w:proofErr w:type="spellEnd"/>
      <w:r w:rsidRPr="0003060E">
        <w:rPr>
          <w:rFonts w:cstheme="minorHAnsi"/>
          <w:lang w:val="en-US"/>
        </w:rPr>
        <w:t xml:space="preserve"> in </w:t>
      </w:r>
      <w:r w:rsidR="00AC5E59" w:rsidRPr="0003060E">
        <w:rPr>
          <w:rFonts w:cstheme="minorHAnsi"/>
          <w:lang w:val="en-US"/>
        </w:rPr>
        <w:t xml:space="preserve">Caroline Kenny, </w:t>
      </w:r>
      <w:r w:rsidR="00BB08B3" w:rsidRPr="0003060E">
        <w:rPr>
          <w:rFonts w:cstheme="minorHAnsi"/>
          <w:lang w:val="en-US"/>
        </w:rPr>
        <w:t>‘</w:t>
      </w:r>
      <w:r w:rsidR="00AC5E59" w:rsidRPr="0003060E">
        <w:rPr>
          <w:rFonts w:cstheme="minorHAnsi"/>
          <w:lang w:val="en-US"/>
        </w:rPr>
        <w:t xml:space="preserve">Confidentiality in International Commercial Arbitration: Is It </w:t>
      </w:r>
      <w:r w:rsidR="008065CA" w:rsidRPr="0003060E">
        <w:rPr>
          <w:rFonts w:cstheme="minorHAnsi"/>
          <w:lang w:val="en-US"/>
        </w:rPr>
        <w:t xml:space="preserve">an Accepted Principle; and if so, Should the </w:t>
      </w:r>
      <w:r w:rsidR="008065CA" w:rsidRPr="0003060E">
        <w:rPr>
          <w:rFonts w:cstheme="minorHAnsi"/>
          <w:i/>
          <w:iCs/>
          <w:lang w:val="en-US"/>
        </w:rPr>
        <w:t xml:space="preserve">Model Law </w:t>
      </w:r>
      <w:r w:rsidR="008065CA" w:rsidRPr="0003060E">
        <w:rPr>
          <w:rFonts w:cstheme="minorHAnsi"/>
          <w:lang w:val="en-US"/>
        </w:rPr>
        <w:t>Regulate It?’</w:t>
      </w:r>
      <w:r w:rsidRPr="0003060E">
        <w:rPr>
          <w:rFonts w:cstheme="minorHAnsi"/>
          <w:lang w:val="en-US"/>
        </w:rPr>
        <w:t xml:space="preserve"> </w:t>
      </w:r>
      <w:r w:rsidR="00810A21" w:rsidRPr="0003060E">
        <w:rPr>
          <w:rFonts w:cstheme="minorHAnsi"/>
          <w:lang w:val="en-US"/>
        </w:rPr>
        <w:t>(JSD Thesis, Monash University, 2023)</w:t>
      </w:r>
      <w:r w:rsidR="00AC5E59" w:rsidRPr="0003060E">
        <w:rPr>
          <w:rFonts w:cstheme="minorHAnsi"/>
          <w:lang w:val="en-US"/>
        </w:rPr>
        <w:t xml:space="preserve"> at &lt;</w:t>
      </w:r>
      <w:hyperlink r:id="rId21" w:history="1">
        <w:r w:rsidR="008065CA" w:rsidRPr="0003060E">
          <w:rPr>
            <w:rStyle w:val="Hyperlink"/>
            <w:rFonts w:cstheme="minorHAnsi"/>
            <w:lang w:val="en-US"/>
          </w:rPr>
          <w:t>https://bridges.monash.edu/articles/thesis/Confidentiality_in_International_Commercial_Arbitration_Is_it_an_Accepted_Principle_and_if_so_Should_the_Model_Law_Regulate_it_/23294540</w:t>
        </w:r>
      </w:hyperlink>
      <w:r w:rsidR="00AC5E59" w:rsidRPr="0003060E">
        <w:rPr>
          <w:rFonts w:cstheme="minorHAnsi"/>
          <w:lang w:val="en-US"/>
        </w:rPr>
        <w:t>&gt;</w:t>
      </w:r>
      <w:r w:rsidR="00810A21" w:rsidRPr="0003060E">
        <w:rPr>
          <w:rFonts w:cstheme="minorHAnsi"/>
          <w:lang w:val="en-US"/>
        </w:rPr>
        <w:t xml:space="preserve">. </w:t>
      </w:r>
    </w:p>
  </w:footnote>
  <w:footnote w:id="58">
    <w:p w14:paraId="1CCF6476" w14:textId="6A56AF96" w:rsidR="00D635DC" w:rsidRPr="0003060E" w:rsidRDefault="00D635DC">
      <w:pPr>
        <w:pStyle w:val="FootnoteText"/>
        <w:rPr>
          <w:rFonts w:cstheme="minorHAnsi"/>
          <w:lang w:val="en-US"/>
        </w:rPr>
      </w:pPr>
      <w:r w:rsidRPr="0003060E">
        <w:rPr>
          <w:rStyle w:val="FootnoteReference"/>
          <w:rFonts w:cstheme="minorHAnsi"/>
        </w:rPr>
        <w:footnoteRef/>
      </w:r>
      <w:r w:rsidR="00C50908" w:rsidRPr="0003060E">
        <w:rPr>
          <w:rFonts w:cstheme="minorHAnsi"/>
        </w:rPr>
        <w:t xml:space="preserve"> Luke Nottage, Simon Greenberg, and Romesh Weeramantry, ‘The 2005 Rules of the Australian Centre for International Commercial Arbitration – Revisited’ in Luke Nottage and Richard Garnett (eds), </w:t>
      </w:r>
      <w:r w:rsidR="00C50908" w:rsidRPr="0003060E">
        <w:rPr>
          <w:rFonts w:cstheme="minorHAnsi"/>
          <w:i/>
          <w:iCs/>
        </w:rPr>
        <w:t>International Arbitration in Australia</w:t>
      </w:r>
      <w:r w:rsidR="00C50908" w:rsidRPr="0003060E">
        <w:rPr>
          <w:rFonts w:cstheme="minorHAnsi"/>
        </w:rPr>
        <w:t xml:space="preserve"> (Federation Press</w:t>
      </w:r>
      <w:r w:rsidR="00FE7B78" w:rsidRPr="0003060E">
        <w:rPr>
          <w:rFonts w:cstheme="minorHAnsi"/>
        </w:rPr>
        <w:t>, 2010</w:t>
      </w:r>
      <w:r w:rsidR="00C50908" w:rsidRPr="0003060E">
        <w:rPr>
          <w:rFonts w:cstheme="minorHAnsi"/>
        </w:rPr>
        <w:t>) 79, 91.</w:t>
      </w:r>
      <w:r w:rsidR="00C87BC6" w:rsidRPr="0003060E">
        <w:rPr>
          <w:rFonts w:cstheme="minorHAnsi"/>
        </w:rPr>
        <w:t xml:space="preserve"> However, the 2023 Rules of the Asian International Arbitration Centre deem parties to have consented to it publishing awards after two years, unless a party or the tribunal objects (Art 21.5).</w:t>
      </w:r>
    </w:p>
  </w:footnote>
  <w:footnote w:id="59">
    <w:p w14:paraId="485571D7" w14:textId="576E36A4" w:rsidR="009E4595" w:rsidRPr="0003060E" w:rsidRDefault="0020164B" w:rsidP="009E4595">
      <w:pPr>
        <w:pStyle w:val="FootnoteText"/>
        <w:rPr>
          <w:rFonts w:cstheme="minorHAnsi"/>
          <w:lang w:val="en-US"/>
        </w:rPr>
      </w:pPr>
      <w:r w:rsidRPr="0003060E">
        <w:rPr>
          <w:rStyle w:val="FootnoteReference"/>
          <w:rFonts w:cstheme="minorHAnsi"/>
        </w:rPr>
        <w:footnoteRef/>
      </w:r>
      <w:r w:rsidR="00FF65E7" w:rsidRPr="0003060E">
        <w:rPr>
          <w:rFonts w:cstheme="minorHAnsi"/>
          <w:lang w:val="en-US"/>
        </w:rPr>
        <w:t xml:space="preserve"> Nottage</w:t>
      </w:r>
      <w:r w:rsidR="00AF317F" w:rsidRPr="0003060E">
        <w:rPr>
          <w:rFonts w:cstheme="minorHAnsi"/>
          <w:lang w:val="en-US"/>
        </w:rPr>
        <w:t xml:space="preserve"> (n</w:t>
      </w:r>
      <w:r w:rsidR="00821827" w:rsidRPr="0003060E">
        <w:rPr>
          <w:rFonts w:cstheme="minorHAnsi"/>
          <w:lang w:val="en-US"/>
        </w:rPr>
        <w:t xml:space="preserve"> 30</w:t>
      </w:r>
      <w:r w:rsidR="00AF317F" w:rsidRPr="0003060E">
        <w:rPr>
          <w:rFonts w:cstheme="minorHAnsi"/>
          <w:lang w:val="en-US"/>
        </w:rPr>
        <w:t xml:space="preserve">) </w:t>
      </w:r>
      <w:r w:rsidR="008065CA" w:rsidRPr="0003060E">
        <w:rPr>
          <w:rFonts w:cstheme="minorHAnsi"/>
          <w:lang w:val="en-US"/>
        </w:rPr>
        <w:t>236-258</w:t>
      </w:r>
      <w:r w:rsidR="00172B33" w:rsidRPr="0003060E">
        <w:rPr>
          <w:rFonts w:cstheme="minorHAnsi"/>
          <w:lang w:val="en-US"/>
        </w:rPr>
        <w:t>.</w:t>
      </w:r>
    </w:p>
  </w:footnote>
  <w:footnote w:id="60">
    <w:p w14:paraId="3FD28814" w14:textId="5307BC84" w:rsidR="005C1D56" w:rsidRPr="0003060E" w:rsidRDefault="005C1D56">
      <w:pPr>
        <w:pStyle w:val="FootnoteText"/>
        <w:rPr>
          <w:rFonts w:cstheme="minorHAnsi"/>
        </w:rPr>
      </w:pPr>
      <w:r w:rsidRPr="0003060E">
        <w:rPr>
          <w:rStyle w:val="FootnoteReference"/>
          <w:rFonts w:cstheme="minorHAnsi"/>
        </w:rPr>
        <w:footnoteRef/>
      </w:r>
      <w:r w:rsidRPr="0003060E">
        <w:rPr>
          <w:rFonts w:cstheme="minorHAnsi"/>
        </w:rPr>
        <w:t xml:space="preserve"> Nottage </w:t>
      </w:r>
      <w:r w:rsidR="00521D6A" w:rsidRPr="0003060E">
        <w:rPr>
          <w:rFonts w:cstheme="minorHAnsi"/>
        </w:rPr>
        <w:t>(n 1</w:t>
      </w:r>
      <w:r w:rsidR="00821827" w:rsidRPr="0003060E">
        <w:rPr>
          <w:rFonts w:cstheme="minorHAnsi"/>
        </w:rPr>
        <w:t>6</w:t>
      </w:r>
      <w:r w:rsidR="00521D6A" w:rsidRPr="0003060E">
        <w:rPr>
          <w:rFonts w:cstheme="minorHAnsi"/>
        </w:rPr>
        <w:t>).</w:t>
      </w:r>
    </w:p>
  </w:footnote>
  <w:footnote w:id="61">
    <w:p w14:paraId="195C1041" w14:textId="5EE2BAED" w:rsidR="00170C51" w:rsidRPr="0003060E" w:rsidRDefault="005C1D56">
      <w:pPr>
        <w:pStyle w:val="FootnoteText"/>
        <w:rPr>
          <w:rFonts w:cstheme="minorHAnsi"/>
        </w:rPr>
      </w:pPr>
      <w:r w:rsidRPr="0003060E">
        <w:rPr>
          <w:rStyle w:val="FootnoteReference"/>
          <w:rFonts w:cstheme="minorHAnsi"/>
        </w:rPr>
        <w:footnoteRef/>
      </w:r>
      <w:r w:rsidRPr="0003060E">
        <w:rPr>
          <w:rFonts w:cstheme="minorHAnsi"/>
        </w:rPr>
        <w:t xml:space="preserve"> See generally</w:t>
      </w:r>
      <w:r w:rsidR="007F558C" w:rsidRPr="0003060E">
        <w:rPr>
          <w:rFonts w:cstheme="minorHAnsi"/>
        </w:rPr>
        <w:t>,</w:t>
      </w:r>
      <w:r w:rsidRPr="0003060E">
        <w:rPr>
          <w:rFonts w:cstheme="minorHAnsi"/>
        </w:rPr>
        <w:t xml:space="preserve"> </w:t>
      </w:r>
      <w:proofErr w:type="spellStart"/>
      <w:r w:rsidRPr="0003060E">
        <w:rPr>
          <w:rFonts w:cstheme="minorHAnsi"/>
        </w:rPr>
        <w:t>eg</w:t>
      </w:r>
      <w:proofErr w:type="spellEnd"/>
      <w:r w:rsidR="007F558C" w:rsidRPr="0003060E">
        <w:rPr>
          <w:rFonts w:cstheme="minorHAnsi"/>
        </w:rPr>
        <w:t>,</w:t>
      </w:r>
      <w:r w:rsidRPr="0003060E">
        <w:rPr>
          <w:rFonts w:cstheme="minorHAnsi"/>
        </w:rPr>
        <w:t xml:space="preserve"> </w:t>
      </w:r>
      <w:r w:rsidRPr="0003060E">
        <w:rPr>
          <w:rFonts w:cstheme="minorHAnsi"/>
          <w:lang w:val="en-GB"/>
        </w:rPr>
        <w:t xml:space="preserve">Klaus Peter Berger </w:t>
      </w:r>
      <w:r w:rsidR="009A0900" w:rsidRPr="0003060E">
        <w:rPr>
          <w:rFonts w:cstheme="minorHAnsi"/>
          <w:lang w:val="en-GB"/>
        </w:rPr>
        <w:t>and</w:t>
      </w:r>
      <w:r w:rsidRPr="0003060E">
        <w:rPr>
          <w:rFonts w:cstheme="minorHAnsi"/>
          <w:lang w:val="en-GB"/>
        </w:rPr>
        <w:t xml:space="preserve"> J Ole Jensen, </w:t>
      </w:r>
      <w:r w:rsidR="009A0900" w:rsidRPr="0003060E">
        <w:rPr>
          <w:rFonts w:cstheme="minorHAnsi"/>
          <w:lang w:val="en-GB"/>
        </w:rPr>
        <w:t>‘</w:t>
      </w:r>
      <w:r w:rsidRPr="0003060E">
        <w:rPr>
          <w:rFonts w:cstheme="minorHAnsi"/>
          <w:lang w:val="en-GB"/>
        </w:rPr>
        <w:t xml:space="preserve">Due Process Paranoia and the Procedural Judgment Rule – </w:t>
      </w:r>
      <w:r w:rsidR="00170C51" w:rsidRPr="0003060E">
        <w:rPr>
          <w:rFonts w:cstheme="minorHAnsi"/>
          <w:lang w:val="en-GB"/>
        </w:rPr>
        <w:t>A</w:t>
      </w:r>
      <w:r w:rsidRPr="0003060E">
        <w:rPr>
          <w:rFonts w:cstheme="minorHAnsi"/>
          <w:lang w:val="en-GB"/>
        </w:rPr>
        <w:t xml:space="preserve"> Safe Harbour for Procedural Management Decisions by International Arbitrators</w:t>
      </w:r>
      <w:r w:rsidR="009A0900" w:rsidRPr="0003060E">
        <w:rPr>
          <w:rFonts w:cstheme="minorHAnsi"/>
          <w:lang w:val="en-GB"/>
        </w:rPr>
        <w:t>’</w:t>
      </w:r>
      <w:r w:rsidR="007F2378" w:rsidRPr="0003060E">
        <w:rPr>
          <w:rFonts w:cstheme="minorHAnsi"/>
          <w:lang w:val="en-GB"/>
        </w:rPr>
        <w:t xml:space="preserve"> (2016)</w:t>
      </w:r>
      <w:r w:rsidRPr="0003060E">
        <w:rPr>
          <w:rFonts w:cstheme="minorHAnsi"/>
          <w:lang w:val="en-GB"/>
        </w:rPr>
        <w:t xml:space="preserve"> 32 </w:t>
      </w:r>
      <w:r w:rsidRPr="0003060E">
        <w:rPr>
          <w:rFonts w:cstheme="minorHAnsi"/>
          <w:i/>
          <w:iCs/>
          <w:lang w:val="en-GB"/>
        </w:rPr>
        <w:t>Arbitration International</w:t>
      </w:r>
      <w:r w:rsidRPr="0003060E">
        <w:rPr>
          <w:rFonts w:cstheme="minorHAnsi"/>
          <w:lang w:val="en-GB"/>
        </w:rPr>
        <w:t xml:space="preserve"> 415</w:t>
      </w:r>
      <w:r w:rsidRPr="0003060E">
        <w:rPr>
          <w:rFonts w:cstheme="minorHAnsi"/>
        </w:rPr>
        <w:t xml:space="preserve">; and recent developments in Singapore outlined in </w:t>
      </w:r>
      <w:r w:rsidRPr="0003060E">
        <w:rPr>
          <w:rFonts w:cstheme="minorHAnsi"/>
          <w:lang w:val="en-GB"/>
        </w:rPr>
        <w:t xml:space="preserve">Chiann Bao, </w:t>
      </w:r>
      <w:r w:rsidR="007F2378" w:rsidRPr="0003060E">
        <w:rPr>
          <w:rFonts w:cstheme="minorHAnsi"/>
          <w:lang w:val="en-GB"/>
        </w:rPr>
        <w:t>‘</w:t>
      </w:r>
      <w:r w:rsidRPr="0003060E">
        <w:rPr>
          <w:rFonts w:cstheme="minorHAnsi"/>
          <w:lang w:val="en-GB"/>
        </w:rPr>
        <w:t>Return to Reason: Reining in Runaway Due Process Claims</w:t>
      </w:r>
      <w:r w:rsidR="007F2378" w:rsidRPr="0003060E">
        <w:rPr>
          <w:rFonts w:cstheme="minorHAnsi"/>
          <w:lang w:val="en-GB"/>
        </w:rPr>
        <w:t>’</w:t>
      </w:r>
      <w:r w:rsidR="00D12644" w:rsidRPr="0003060E">
        <w:rPr>
          <w:rFonts w:cstheme="minorHAnsi"/>
          <w:lang w:val="en-GB"/>
        </w:rPr>
        <w:t xml:space="preserve"> (2021) </w:t>
      </w:r>
      <w:r w:rsidRPr="0003060E">
        <w:rPr>
          <w:rFonts w:cstheme="minorHAnsi"/>
          <w:lang w:val="en-GB"/>
        </w:rPr>
        <w:t xml:space="preserve">38 </w:t>
      </w:r>
      <w:r w:rsidR="00071E21" w:rsidRPr="0003060E">
        <w:rPr>
          <w:rFonts w:cstheme="minorHAnsi"/>
          <w:i/>
          <w:iCs/>
          <w:lang w:val="en-GB"/>
        </w:rPr>
        <w:t xml:space="preserve">Journal of International Arbitration </w:t>
      </w:r>
      <w:r w:rsidRPr="0003060E">
        <w:rPr>
          <w:rFonts w:cstheme="minorHAnsi"/>
          <w:lang w:val="en-GB"/>
        </w:rPr>
        <w:t>59</w:t>
      </w:r>
      <w:r w:rsidRPr="0003060E">
        <w:rPr>
          <w:rFonts w:cstheme="minorHAnsi"/>
        </w:rPr>
        <w:t>.</w:t>
      </w:r>
      <w:r w:rsidR="00170C51" w:rsidRPr="0003060E">
        <w:rPr>
          <w:rFonts w:cstheme="minorHAnsi"/>
        </w:rPr>
        <w:t xml:space="preserve"> See also Alain Hosang, </w:t>
      </w:r>
      <w:r w:rsidR="00170C51" w:rsidRPr="0003060E">
        <w:rPr>
          <w:i/>
          <w:iCs/>
        </w:rPr>
        <w:t xml:space="preserve">Obstructionist </w:t>
      </w:r>
      <w:proofErr w:type="spellStart"/>
      <w:r w:rsidR="00170C51" w:rsidRPr="0003060E">
        <w:rPr>
          <w:i/>
          <w:iCs/>
        </w:rPr>
        <w:t>Behavior</w:t>
      </w:r>
      <w:proofErr w:type="spellEnd"/>
      <w:r w:rsidR="00170C51" w:rsidRPr="0003060E">
        <w:rPr>
          <w:i/>
          <w:iCs/>
        </w:rPr>
        <w:t xml:space="preserve"> in International Commercial Arbitration</w:t>
      </w:r>
      <w:r w:rsidR="00170C51" w:rsidRPr="0003060E">
        <w:t xml:space="preserve"> (Eleven 2014).</w:t>
      </w:r>
    </w:p>
  </w:footnote>
  <w:footnote w:id="62">
    <w:p w14:paraId="29BBA71A" w14:textId="78DA61F3" w:rsidR="00821827" w:rsidRPr="0003060E" w:rsidRDefault="0020164B">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 xml:space="preserve">Nottage </w:t>
      </w:r>
      <w:r w:rsidR="00F412B8" w:rsidRPr="0003060E">
        <w:rPr>
          <w:rFonts w:cstheme="minorHAnsi"/>
          <w:lang w:val="en-US"/>
        </w:rPr>
        <w:t>(n 3</w:t>
      </w:r>
      <w:r w:rsidR="00821827" w:rsidRPr="0003060E">
        <w:rPr>
          <w:rFonts w:cstheme="minorHAnsi"/>
          <w:lang w:val="en-US"/>
        </w:rPr>
        <w:t>2).</w:t>
      </w:r>
    </w:p>
  </w:footnote>
  <w:footnote w:id="63">
    <w:p w14:paraId="7D4CB9D1" w14:textId="37CBF655" w:rsidR="00536E53" w:rsidRPr="0003060E" w:rsidRDefault="00536E53">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See</w:t>
      </w:r>
      <w:r w:rsidR="00EA497C" w:rsidRPr="0003060E">
        <w:rPr>
          <w:rFonts w:cstheme="minorHAnsi"/>
          <w:lang w:val="en-US"/>
        </w:rPr>
        <w:t xml:space="preserve"> ‘Arbitrator Intelligence Reports’, </w:t>
      </w:r>
      <w:r w:rsidR="00EA497C" w:rsidRPr="0003060E">
        <w:rPr>
          <w:rFonts w:cstheme="minorHAnsi"/>
          <w:i/>
          <w:iCs/>
          <w:lang w:val="en-US"/>
        </w:rPr>
        <w:t>Wolters Kluwer</w:t>
      </w:r>
      <w:r w:rsidR="00EA497C" w:rsidRPr="0003060E">
        <w:rPr>
          <w:rFonts w:cstheme="minorHAnsi"/>
          <w:lang w:val="en-US"/>
        </w:rPr>
        <w:t xml:space="preserve"> (Web Page) &lt;</w:t>
      </w:r>
      <w:hyperlink r:id="rId22" w:history="1">
        <w:r w:rsidR="00EA497C" w:rsidRPr="0003060E">
          <w:rPr>
            <w:rStyle w:val="Hyperlink"/>
            <w:rFonts w:cstheme="minorHAnsi"/>
            <w:lang w:val="en-US"/>
          </w:rPr>
          <w:t>https://www.wolterskluwer.com/en/solutions/kluwerarbitration/arbitrator-intelligence</w:t>
        </w:r>
      </w:hyperlink>
      <w:r w:rsidR="00EA497C" w:rsidRPr="0003060E">
        <w:rPr>
          <w:rFonts w:cstheme="minorHAnsi"/>
          <w:lang w:val="en-US"/>
        </w:rPr>
        <w:t>&gt;.</w:t>
      </w:r>
      <w:r w:rsidR="00E425C1" w:rsidRPr="0003060E">
        <w:rPr>
          <w:rFonts w:cstheme="minorHAnsi"/>
          <w:lang w:val="en-US"/>
        </w:rPr>
        <w:t xml:space="preserve"> </w:t>
      </w:r>
    </w:p>
  </w:footnote>
  <w:footnote w:id="64">
    <w:p w14:paraId="149FFACD" w14:textId="350134EF" w:rsidR="00536E53" w:rsidRPr="0003060E" w:rsidRDefault="00536E53">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 xml:space="preserve">See generally </w:t>
      </w:r>
      <w:r w:rsidR="00B2184B" w:rsidRPr="0003060E">
        <w:rPr>
          <w:rFonts w:cstheme="minorHAnsi"/>
          <w:lang w:val="en-US"/>
        </w:rPr>
        <w:t xml:space="preserve">Ana </w:t>
      </w:r>
      <w:r w:rsidRPr="0003060E">
        <w:rPr>
          <w:rFonts w:cstheme="minorHAnsi"/>
          <w:lang w:val="en-US"/>
        </w:rPr>
        <w:t>Ubilava</w:t>
      </w:r>
      <w:r w:rsidR="00B2184B" w:rsidRPr="0003060E">
        <w:rPr>
          <w:rFonts w:cstheme="minorHAnsi"/>
          <w:lang w:val="en-US"/>
        </w:rPr>
        <w:t>, ‘Amicable Settlements in Investor-State Disputes: Empirical Analysis of Patterns and Perceived Problems’</w:t>
      </w:r>
      <w:r w:rsidRPr="0003060E">
        <w:rPr>
          <w:rFonts w:cstheme="minorHAnsi"/>
          <w:lang w:val="en-US"/>
        </w:rPr>
        <w:t xml:space="preserve"> </w:t>
      </w:r>
      <w:r w:rsidR="00B2184B" w:rsidRPr="0003060E">
        <w:rPr>
          <w:rFonts w:cstheme="minorHAnsi"/>
          <w:lang w:val="en-US"/>
        </w:rPr>
        <w:t>(</w:t>
      </w:r>
      <w:r w:rsidRPr="0003060E">
        <w:rPr>
          <w:rFonts w:cstheme="minorHAnsi"/>
          <w:lang w:val="en-US"/>
        </w:rPr>
        <w:t>2020</w:t>
      </w:r>
      <w:r w:rsidR="00B2184B" w:rsidRPr="0003060E">
        <w:rPr>
          <w:rFonts w:cstheme="minorHAnsi"/>
          <w:lang w:val="en-US"/>
        </w:rPr>
        <w:t>) 21</w:t>
      </w:r>
      <w:r w:rsidRPr="0003060E">
        <w:rPr>
          <w:rFonts w:cstheme="minorHAnsi"/>
          <w:lang w:val="en-US"/>
        </w:rPr>
        <w:t xml:space="preserve"> </w:t>
      </w:r>
      <w:r w:rsidR="00B2184B" w:rsidRPr="0003060E">
        <w:rPr>
          <w:rFonts w:cstheme="minorHAnsi"/>
          <w:i/>
          <w:iCs/>
          <w:lang w:val="en-US"/>
        </w:rPr>
        <w:t>Journal of World Investment and Trade</w:t>
      </w:r>
      <w:r w:rsidR="00B2184B" w:rsidRPr="0003060E">
        <w:rPr>
          <w:rFonts w:cstheme="minorHAnsi"/>
          <w:lang w:val="en-US"/>
        </w:rPr>
        <w:t xml:space="preserve"> </w:t>
      </w:r>
      <w:r w:rsidR="00432C6C" w:rsidRPr="0003060E">
        <w:rPr>
          <w:rFonts w:cstheme="minorHAnsi"/>
          <w:lang w:val="en-US"/>
        </w:rPr>
        <w:t xml:space="preserve">528-57. </w:t>
      </w:r>
    </w:p>
  </w:footnote>
  <w:footnote w:id="65">
    <w:p w14:paraId="656386A8" w14:textId="1242E25E" w:rsidR="00815E91" w:rsidRPr="0003060E" w:rsidRDefault="00483B33" w:rsidP="000438D2">
      <w:pPr>
        <w:pStyle w:val="FootnoteText"/>
        <w:rPr>
          <w:rFonts w:cstheme="minorHAnsi"/>
        </w:rPr>
      </w:pPr>
      <w:r w:rsidRPr="0003060E">
        <w:rPr>
          <w:rStyle w:val="FootnoteReference"/>
          <w:rFonts w:cstheme="minorHAnsi"/>
        </w:rPr>
        <w:footnoteRef/>
      </w:r>
      <w:r w:rsidRPr="0003060E">
        <w:rPr>
          <w:rFonts w:cstheme="minorHAnsi"/>
        </w:rPr>
        <w:t xml:space="preserve"> See generally</w:t>
      </w:r>
      <w:r w:rsidR="002C5783" w:rsidRPr="0003060E">
        <w:rPr>
          <w:rFonts w:cstheme="minorHAnsi"/>
        </w:rPr>
        <w:t xml:space="preserve"> Thomas</w:t>
      </w:r>
      <w:r w:rsidRPr="0003060E">
        <w:rPr>
          <w:rFonts w:cstheme="minorHAnsi"/>
        </w:rPr>
        <w:t xml:space="preserve"> Stipanovich</w:t>
      </w:r>
      <w:r w:rsidR="002C5783" w:rsidRPr="0003060E">
        <w:rPr>
          <w:rFonts w:cstheme="minorHAnsi"/>
        </w:rPr>
        <w:t xml:space="preserve">, ‘Soft Law in the Organization and General Conduct of Commercial Arbitration Proceedings’ in Lawrence Newman, Michael Radine and Kabir Duggal (eds), </w:t>
      </w:r>
      <w:r w:rsidR="00B84917" w:rsidRPr="0003060E">
        <w:rPr>
          <w:rFonts w:cstheme="minorHAnsi"/>
          <w:i/>
          <w:iCs/>
        </w:rPr>
        <w:t>Soft Law in International Arbitration</w:t>
      </w:r>
      <w:r w:rsidR="002C5783" w:rsidRPr="0003060E">
        <w:rPr>
          <w:rFonts w:cstheme="minorHAnsi"/>
        </w:rPr>
        <w:t xml:space="preserve"> (</w:t>
      </w:r>
      <w:r w:rsidR="00DF13AA" w:rsidRPr="0003060E">
        <w:rPr>
          <w:rFonts w:cstheme="minorHAnsi"/>
        </w:rPr>
        <w:t>Kluwer,</w:t>
      </w:r>
      <w:r w:rsidR="00C41388" w:rsidRPr="0003060E">
        <w:rPr>
          <w:rFonts w:cstheme="minorHAnsi"/>
        </w:rPr>
        <w:t xml:space="preserve"> 2</w:t>
      </w:r>
      <w:r w:rsidR="00723528" w:rsidRPr="0003060E">
        <w:rPr>
          <w:rFonts w:cstheme="minorHAnsi"/>
        </w:rPr>
        <w:t xml:space="preserve">nd </w:t>
      </w:r>
      <w:r w:rsidR="00C41388" w:rsidRPr="0003060E">
        <w:rPr>
          <w:rFonts w:cstheme="minorHAnsi"/>
        </w:rPr>
        <w:t>ed, 2021</w:t>
      </w:r>
      <w:r w:rsidR="002C5783" w:rsidRPr="0003060E">
        <w:rPr>
          <w:rFonts w:cstheme="minorHAnsi"/>
        </w:rPr>
        <w:t>)</w:t>
      </w:r>
      <w:r w:rsidR="000438D2" w:rsidRPr="0003060E">
        <w:rPr>
          <w:rFonts w:cstheme="minorHAnsi"/>
        </w:rPr>
        <w:t xml:space="preserve"> </w:t>
      </w:r>
      <w:r w:rsidRPr="0003060E">
        <w:rPr>
          <w:rFonts w:cstheme="minorHAnsi"/>
        </w:rPr>
        <w:t>and also</w:t>
      </w:r>
      <w:r w:rsidR="007F558C" w:rsidRPr="0003060E">
        <w:rPr>
          <w:rFonts w:cstheme="minorHAnsi"/>
        </w:rPr>
        <w:t>,</w:t>
      </w:r>
      <w:r w:rsidRPr="0003060E">
        <w:rPr>
          <w:rFonts w:cstheme="minorHAnsi"/>
        </w:rPr>
        <w:t xml:space="preserve"> </w:t>
      </w:r>
      <w:proofErr w:type="spellStart"/>
      <w:r w:rsidRPr="0003060E">
        <w:rPr>
          <w:rFonts w:cstheme="minorHAnsi"/>
        </w:rPr>
        <w:t>eg</w:t>
      </w:r>
      <w:proofErr w:type="spellEnd"/>
      <w:r w:rsidR="007F558C" w:rsidRPr="0003060E">
        <w:rPr>
          <w:rFonts w:cstheme="minorHAnsi"/>
        </w:rPr>
        <w:t>,</w:t>
      </w:r>
      <w:r w:rsidRPr="0003060E">
        <w:rPr>
          <w:rFonts w:cstheme="minorHAnsi"/>
        </w:rPr>
        <w:t xml:space="preserve"> UNCITRAL’s Notes on Organi</w:t>
      </w:r>
      <w:r w:rsidR="0002795E" w:rsidRPr="0003060E">
        <w:rPr>
          <w:rFonts w:cstheme="minorHAnsi"/>
        </w:rPr>
        <w:t>zi</w:t>
      </w:r>
      <w:r w:rsidRPr="0003060E">
        <w:rPr>
          <w:rFonts w:cstheme="minorHAnsi"/>
        </w:rPr>
        <w:t>ng</w:t>
      </w:r>
      <w:r w:rsidR="0002795E" w:rsidRPr="0003060E">
        <w:rPr>
          <w:rFonts w:cstheme="minorHAnsi"/>
        </w:rPr>
        <w:t xml:space="preserve"> Arbitral</w:t>
      </w:r>
      <w:r w:rsidRPr="0003060E">
        <w:rPr>
          <w:rFonts w:cstheme="minorHAnsi"/>
        </w:rPr>
        <w:t xml:space="preserve"> Proceedings (</w:t>
      </w:r>
      <w:r w:rsidR="0002795E" w:rsidRPr="0003060E">
        <w:rPr>
          <w:rFonts w:cstheme="minorHAnsi"/>
        </w:rPr>
        <w:t xml:space="preserve">1996, </w:t>
      </w:r>
      <w:r w:rsidRPr="0003060E">
        <w:rPr>
          <w:rFonts w:cstheme="minorHAnsi"/>
        </w:rPr>
        <w:t xml:space="preserve">revised in </w:t>
      </w:r>
      <w:r w:rsidR="0002795E" w:rsidRPr="0003060E">
        <w:rPr>
          <w:rFonts w:cstheme="minorHAnsi"/>
        </w:rPr>
        <w:t>2016</w:t>
      </w:r>
      <w:r w:rsidRPr="0003060E">
        <w:rPr>
          <w:rFonts w:cstheme="minorHAnsi"/>
        </w:rPr>
        <w:t xml:space="preserve">) available via </w:t>
      </w:r>
      <w:r w:rsidR="000438D2" w:rsidRPr="0003060E">
        <w:rPr>
          <w:rFonts w:cstheme="minorHAnsi"/>
        </w:rPr>
        <w:t xml:space="preserve">‘UNCITRAL Notes on Organizing Arbitral Proceedings (2016)’, </w:t>
      </w:r>
      <w:r w:rsidR="000438D2" w:rsidRPr="0003060E">
        <w:rPr>
          <w:rFonts w:cstheme="minorHAnsi"/>
          <w:i/>
          <w:iCs/>
        </w:rPr>
        <w:t xml:space="preserve">United Nations Commission On International Trade Law </w:t>
      </w:r>
      <w:r w:rsidR="000438D2" w:rsidRPr="0003060E">
        <w:rPr>
          <w:rFonts w:cstheme="minorHAnsi"/>
        </w:rPr>
        <w:t>(Web Page, 2016) &lt;</w:t>
      </w:r>
      <w:hyperlink r:id="rId23" w:history="1">
        <w:r w:rsidR="000438D2" w:rsidRPr="0003060E">
          <w:rPr>
            <w:rStyle w:val="Hyperlink"/>
            <w:rFonts w:cstheme="minorHAnsi"/>
          </w:rPr>
          <w:t>https://uncitral.un.org/en/texts/arbitration/explanatorytexts/organizing_arbitral_proceedings</w:t>
        </w:r>
      </w:hyperlink>
      <w:r w:rsidR="000438D2" w:rsidRPr="0003060E">
        <w:rPr>
          <w:rFonts w:cstheme="minorHAnsi"/>
        </w:rPr>
        <w:t>&gt;</w:t>
      </w:r>
      <w:r w:rsidR="0002795E" w:rsidRPr="0003060E">
        <w:rPr>
          <w:rFonts w:cstheme="minorHAnsi"/>
        </w:rPr>
        <w:t xml:space="preserve">. </w:t>
      </w:r>
      <w:r w:rsidR="00815E91" w:rsidRPr="0003060E">
        <w:rPr>
          <w:rFonts w:cstheme="minorHAnsi"/>
        </w:rPr>
        <w:t>The IBA</w:t>
      </w:r>
      <w:r w:rsidR="00170C51" w:rsidRPr="0003060E">
        <w:rPr>
          <w:rFonts w:cstheme="minorHAnsi"/>
        </w:rPr>
        <w:t xml:space="preserve"> </w:t>
      </w:r>
      <w:proofErr w:type="gramStart"/>
      <w:r w:rsidR="00170C51" w:rsidRPr="0003060E">
        <w:rPr>
          <w:rFonts w:cstheme="minorHAnsi"/>
        </w:rPr>
        <w:t xml:space="preserve">– </w:t>
      </w:r>
      <w:r w:rsidR="00815E91" w:rsidRPr="0003060E">
        <w:rPr>
          <w:rFonts w:cstheme="minorHAnsi"/>
        </w:rPr>
        <w:t xml:space="preserve"> along</w:t>
      </w:r>
      <w:proofErr w:type="gramEnd"/>
      <w:r w:rsidR="00815E91" w:rsidRPr="0003060E">
        <w:rPr>
          <w:rFonts w:cstheme="minorHAnsi"/>
        </w:rPr>
        <w:t xml:space="preserve"> with UNCITRAL, competition among arbitral institutions, and core individuals (</w:t>
      </w:r>
      <w:proofErr w:type="spellStart"/>
      <w:r w:rsidR="00815E91" w:rsidRPr="0003060E">
        <w:rPr>
          <w:rFonts w:cstheme="minorHAnsi"/>
        </w:rPr>
        <w:t>eg</w:t>
      </w:r>
      <w:proofErr w:type="spellEnd"/>
      <w:r w:rsidR="00815E91" w:rsidRPr="0003060E">
        <w:rPr>
          <w:rFonts w:cstheme="minorHAnsi"/>
        </w:rPr>
        <w:t xml:space="preserve"> in developing arbitration mechanisms for dealing with mass claims)</w:t>
      </w:r>
      <w:r w:rsidR="00170C51" w:rsidRPr="0003060E">
        <w:rPr>
          <w:rFonts w:cstheme="minorHAnsi"/>
        </w:rPr>
        <w:t xml:space="preserve"> –</w:t>
      </w:r>
      <w:r w:rsidR="00815E91" w:rsidRPr="0003060E">
        <w:rPr>
          <w:rFonts w:cstheme="minorHAnsi"/>
        </w:rPr>
        <w:t xml:space="preserve"> is identified as a major contributor to procedural convergence in IA by John Crook, ‘Procedural Convergence in International Courts and Tribunals’ in Chiara. Giorgetti &amp; Mark Pollack (eds), </w:t>
      </w:r>
      <w:r w:rsidR="00815E91" w:rsidRPr="0003060E">
        <w:rPr>
          <w:rFonts w:cstheme="minorHAnsi"/>
          <w:i/>
          <w:iCs/>
        </w:rPr>
        <w:t>Beyond Fragmentation: Cross-Fertilization, Cooperation and Competition among International Courts and Tribunals</w:t>
      </w:r>
      <w:r w:rsidR="00815E91" w:rsidRPr="0003060E">
        <w:rPr>
          <w:rFonts w:cstheme="minorHAnsi"/>
        </w:rPr>
        <w:t xml:space="preserve"> (Cambridge University Press 2022) 87.</w:t>
      </w:r>
    </w:p>
  </w:footnote>
  <w:footnote w:id="66">
    <w:p w14:paraId="0C9E230F" w14:textId="43CE6C42" w:rsidR="00483B33" w:rsidRPr="0003060E" w:rsidRDefault="00483B33">
      <w:pPr>
        <w:pStyle w:val="FootnoteText"/>
        <w:rPr>
          <w:rFonts w:cstheme="minorHAnsi"/>
        </w:rPr>
      </w:pPr>
      <w:r w:rsidRPr="0003060E">
        <w:rPr>
          <w:rStyle w:val="FootnoteReference"/>
          <w:rFonts w:cstheme="minorHAnsi"/>
        </w:rPr>
        <w:footnoteRef/>
      </w:r>
      <w:r w:rsidRPr="0003060E">
        <w:rPr>
          <w:rFonts w:cstheme="minorHAnsi"/>
        </w:rPr>
        <w:t xml:space="preserve"> See</w:t>
      </w:r>
      <w:r w:rsidR="007F558C" w:rsidRPr="0003060E">
        <w:rPr>
          <w:rFonts w:cstheme="minorHAnsi"/>
        </w:rPr>
        <w:t>,</w:t>
      </w:r>
      <w:r w:rsidRPr="0003060E">
        <w:rPr>
          <w:rFonts w:cstheme="minorHAnsi"/>
        </w:rPr>
        <w:t xml:space="preserve"> </w:t>
      </w:r>
      <w:proofErr w:type="spellStart"/>
      <w:r w:rsidRPr="0003060E">
        <w:rPr>
          <w:rFonts w:cstheme="minorHAnsi"/>
        </w:rPr>
        <w:t>eg</w:t>
      </w:r>
      <w:proofErr w:type="spellEnd"/>
      <w:r w:rsidR="007F558C" w:rsidRPr="0003060E">
        <w:rPr>
          <w:rFonts w:cstheme="minorHAnsi"/>
        </w:rPr>
        <w:t>,</w:t>
      </w:r>
      <w:r w:rsidRPr="0003060E">
        <w:rPr>
          <w:rFonts w:cstheme="minorHAnsi"/>
        </w:rPr>
        <w:t xml:space="preserve"> QMUL Survey 2015</w:t>
      </w:r>
      <w:r w:rsidR="005C1D56" w:rsidRPr="0003060E">
        <w:rPr>
          <w:rFonts w:cstheme="minorHAnsi"/>
        </w:rPr>
        <w:t xml:space="preserve"> Charts 31 and 32, via</w:t>
      </w:r>
      <w:r w:rsidR="00220050" w:rsidRPr="0003060E">
        <w:rPr>
          <w:rFonts w:cstheme="minorHAnsi"/>
        </w:rPr>
        <w:t xml:space="preserve"> ‘Research’, </w:t>
      </w:r>
      <w:r w:rsidR="00220050" w:rsidRPr="0003060E">
        <w:rPr>
          <w:rFonts w:cstheme="minorHAnsi"/>
          <w:i/>
          <w:iCs/>
        </w:rPr>
        <w:t>Queen Mary</w:t>
      </w:r>
      <w:r w:rsidR="00220050" w:rsidRPr="0003060E">
        <w:rPr>
          <w:rFonts w:cstheme="minorHAnsi"/>
        </w:rPr>
        <w:t xml:space="preserve"> </w:t>
      </w:r>
      <w:r w:rsidR="00220050" w:rsidRPr="0003060E">
        <w:rPr>
          <w:rFonts w:cstheme="minorHAnsi"/>
          <w:i/>
          <w:iCs/>
        </w:rPr>
        <w:t xml:space="preserve">University of London School of International Arbitration </w:t>
      </w:r>
      <w:r w:rsidR="0057407C" w:rsidRPr="0003060E">
        <w:rPr>
          <w:rFonts w:cstheme="minorHAnsi"/>
        </w:rPr>
        <w:t xml:space="preserve">(Web Page) </w:t>
      </w:r>
      <w:r w:rsidR="00200F4A" w:rsidRPr="0003060E">
        <w:rPr>
          <w:rFonts w:cstheme="minorHAnsi"/>
        </w:rPr>
        <w:t>&lt;</w:t>
      </w:r>
      <w:hyperlink r:id="rId24" w:history="1">
        <w:r w:rsidR="00200F4A" w:rsidRPr="0003060E">
          <w:rPr>
            <w:rStyle w:val="Hyperlink"/>
            <w:rFonts w:cstheme="minorHAnsi"/>
          </w:rPr>
          <w:t>https://arbitration.qmul.ac.uk/research/</w:t>
        </w:r>
      </w:hyperlink>
      <w:r w:rsidR="00200F4A" w:rsidRPr="0003060E">
        <w:rPr>
          <w:rFonts w:cstheme="minorHAnsi"/>
        </w:rPr>
        <w:t>&gt;</w:t>
      </w:r>
      <w:r w:rsidRPr="0003060E">
        <w:rPr>
          <w:rFonts w:cstheme="minorHAnsi"/>
        </w:rPr>
        <w:t xml:space="preserve">. </w:t>
      </w:r>
      <w:r w:rsidR="00D85894" w:rsidRPr="0003060E">
        <w:rPr>
          <w:rFonts w:cstheme="minorHAnsi"/>
        </w:rPr>
        <w:t>The IBA instruments can be found via</w:t>
      </w:r>
      <w:r w:rsidR="008A1527" w:rsidRPr="0003060E">
        <w:rPr>
          <w:rFonts w:cstheme="minorHAnsi"/>
        </w:rPr>
        <w:t xml:space="preserve"> ‘IBA guides and reports’, </w:t>
      </w:r>
      <w:r w:rsidR="008A1527" w:rsidRPr="0003060E">
        <w:rPr>
          <w:rFonts w:cstheme="minorHAnsi"/>
          <w:i/>
          <w:iCs/>
        </w:rPr>
        <w:t>International Bar Association</w:t>
      </w:r>
      <w:r w:rsidR="00C726F7" w:rsidRPr="0003060E">
        <w:rPr>
          <w:rFonts w:cstheme="minorHAnsi"/>
        </w:rPr>
        <w:t xml:space="preserve"> (Web Page)</w:t>
      </w:r>
      <w:r w:rsidR="000001FF" w:rsidRPr="0003060E">
        <w:rPr>
          <w:rFonts w:cstheme="minorHAnsi"/>
        </w:rPr>
        <w:t xml:space="preserve"> &lt;</w:t>
      </w:r>
      <w:hyperlink r:id="rId25" w:history="1">
        <w:r w:rsidR="000001FF" w:rsidRPr="0003060E">
          <w:rPr>
            <w:rStyle w:val="Hyperlink"/>
            <w:rFonts w:cstheme="minorHAnsi"/>
          </w:rPr>
          <w:t>https://www.ibanet.org/resources</w:t>
        </w:r>
      </w:hyperlink>
      <w:r w:rsidR="000001FF" w:rsidRPr="0003060E">
        <w:rPr>
          <w:rFonts w:cstheme="minorHAnsi"/>
        </w:rPr>
        <w:t>&gt;.</w:t>
      </w:r>
      <w:r w:rsidR="005C1D56" w:rsidRPr="0003060E">
        <w:rPr>
          <w:rFonts w:cstheme="minorHAnsi"/>
        </w:rPr>
        <w:t xml:space="preserve"> </w:t>
      </w:r>
      <w:r w:rsidR="006135E3" w:rsidRPr="0003060E">
        <w:rPr>
          <w:rFonts w:cstheme="minorHAnsi"/>
        </w:rPr>
        <w:t>On arbitrator neutrality, see generally Margaret Beazley</w:t>
      </w:r>
      <w:r w:rsidR="006135E3" w:rsidRPr="0003060E">
        <w:rPr>
          <w:rFonts w:cstheme="minorHAnsi"/>
          <w:color w:val="000000" w:themeColor="text1"/>
        </w:rPr>
        <w:t xml:space="preserve">, </w:t>
      </w:r>
      <w:hyperlink r:id="rId26" w:tgtFrame="_blank" w:tooltip="https://disputescentre.com.au/adr-address-supreme-court-of-nsw-2019/" w:history="1">
        <w:r w:rsidR="006135E3" w:rsidRPr="0003060E">
          <w:rPr>
            <w:rStyle w:val="Hyperlink"/>
            <w:rFonts w:cstheme="minorHAnsi"/>
            <w:color w:val="000000" w:themeColor="text1"/>
            <w:u w:val="none"/>
          </w:rPr>
          <w:t>“Conflicts of Interest in Commercial Arbitration”</w:t>
        </w:r>
      </w:hyperlink>
      <w:r w:rsidR="006135E3" w:rsidRPr="0003060E">
        <w:rPr>
          <w:rFonts w:cstheme="minorHAnsi"/>
          <w:color w:val="000000" w:themeColor="text1"/>
        </w:rPr>
        <w:t>, 2</w:t>
      </w:r>
      <w:r w:rsidR="006135E3" w:rsidRPr="0003060E">
        <w:rPr>
          <w:rFonts w:cstheme="minorHAnsi"/>
          <w:color w:val="000000" w:themeColor="text1"/>
          <w:vertAlign w:val="superscript"/>
        </w:rPr>
        <w:t>nd</w:t>
      </w:r>
      <w:r w:rsidR="006135E3" w:rsidRPr="0003060E">
        <w:rPr>
          <w:rFonts w:cstheme="minorHAnsi"/>
          <w:color w:val="000000" w:themeColor="text1"/>
        </w:rPr>
        <w:t xml:space="preserve"> Annual ADR Address, Supreme Court of New South Wales, 3 October 2019, available at &lt;https://disputescentre.com.au/adr-address-supreme-court-of-nsw-2019/&gt;.</w:t>
      </w:r>
    </w:p>
  </w:footnote>
  <w:footnote w:id="67">
    <w:p w14:paraId="68DD50C8" w14:textId="0B54D8B1" w:rsidR="005F1227" w:rsidRPr="0003060E" w:rsidRDefault="00483B33">
      <w:pPr>
        <w:pStyle w:val="FootnoteText"/>
        <w:rPr>
          <w:rFonts w:cstheme="minorHAnsi"/>
        </w:rPr>
      </w:pPr>
      <w:r w:rsidRPr="0003060E">
        <w:rPr>
          <w:rStyle w:val="FootnoteReference"/>
          <w:rFonts w:cstheme="minorHAnsi"/>
        </w:rPr>
        <w:footnoteRef/>
      </w:r>
      <w:r w:rsidRPr="0003060E">
        <w:rPr>
          <w:rFonts w:cstheme="minorHAnsi"/>
        </w:rPr>
        <w:t xml:space="preserve"> </w:t>
      </w:r>
      <w:r w:rsidR="005F1227" w:rsidRPr="0003060E">
        <w:rPr>
          <w:rFonts w:cstheme="minorHAnsi"/>
        </w:rPr>
        <w:t>In</w:t>
      </w:r>
      <w:r w:rsidRPr="0003060E">
        <w:rPr>
          <w:rFonts w:cstheme="minorHAnsi"/>
        </w:rPr>
        <w:t xml:space="preserve"> the </w:t>
      </w:r>
      <w:r w:rsidR="00C0078E" w:rsidRPr="0003060E">
        <w:rPr>
          <w:rFonts w:cstheme="minorHAnsi"/>
        </w:rPr>
        <w:t xml:space="preserve">2021 (current) </w:t>
      </w:r>
      <w:r w:rsidR="005F1227" w:rsidRPr="0003060E">
        <w:rPr>
          <w:rFonts w:cstheme="minorHAnsi"/>
        </w:rPr>
        <w:t>ACICA Arbitration R</w:t>
      </w:r>
      <w:r w:rsidRPr="0003060E">
        <w:rPr>
          <w:rFonts w:cstheme="minorHAnsi"/>
        </w:rPr>
        <w:t xml:space="preserve">ules, </w:t>
      </w:r>
      <w:r w:rsidR="005F1227" w:rsidRPr="0003060E">
        <w:rPr>
          <w:rFonts w:cstheme="minorHAnsi"/>
        </w:rPr>
        <w:t>see Art</w:t>
      </w:r>
      <w:r w:rsidR="00A82812" w:rsidRPr="0003060E">
        <w:rPr>
          <w:rFonts w:cstheme="minorHAnsi"/>
        </w:rPr>
        <w:t xml:space="preserve"> </w:t>
      </w:r>
      <w:r w:rsidR="003F41A2" w:rsidRPr="0003060E">
        <w:rPr>
          <w:rFonts w:cstheme="minorHAnsi"/>
        </w:rPr>
        <w:t>9.2</w:t>
      </w:r>
      <w:r w:rsidR="00574162" w:rsidRPr="0003060E">
        <w:rPr>
          <w:rFonts w:cstheme="minorHAnsi"/>
        </w:rPr>
        <w:t>.</w:t>
      </w:r>
      <w:r w:rsidR="005F1227" w:rsidRPr="0003060E">
        <w:rPr>
          <w:rFonts w:cstheme="minorHAnsi"/>
        </w:rPr>
        <w:t xml:space="preserve"> The IBA Guidelines on arbitrator neutrality also influenced the 2015 amendments to India’s Act, specifically the Fifth Schedule listing situations that might lead to a successful challenge. See Naresh and Ria </w:t>
      </w:r>
      <w:proofErr w:type="spellStart"/>
      <w:r w:rsidR="005F1227" w:rsidRPr="0003060E">
        <w:rPr>
          <w:rFonts w:cstheme="minorHAnsi"/>
        </w:rPr>
        <w:t>Dalwani</w:t>
      </w:r>
      <w:proofErr w:type="spellEnd"/>
      <w:r w:rsidR="005F1227" w:rsidRPr="0003060E">
        <w:rPr>
          <w:rFonts w:cstheme="minorHAnsi"/>
        </w:rPr>
        <w:t>, ‘An Arbitration Seated in India – What Can You Expect’ (21 October 2022) &lt;https://www.ibanet.org/an-arbitration-seated-in-india-what-can-you-expect&gt;.</w:t>
      </w:r>
    </w:p>
  </w:footnote>
  <w:footnote w:id="68">
    <w:p w14:paraId="0F5088C7" w14:textId="56136A84" w:rsidR="00961B22" w:rsidRPr="0003060E" w:rsidRDefault="00961B22">
      <w:pPr>
        <w:pStyle w:val="FootnoteText"/>
        <w:rPr>
          <w:rFonts w:cstheme="minorHAnsi"/>
        </w:rPr>
      </w:pPr>
      <w:r w:rsidRPr="0003060E">
        <w:rPr>
          <w:rStyle w:val="FootnoteReference"/>
          <w:rFonts w:cstheme="minorHAnsi"/>
        </w:rPr>
        <w:footnoteRef/>
      </w:r>
      <w:r w:rsidRPr="0003060E">
        <w:rPr>
          <w:rFonts w:cstheme="minorHAnsi"/>
        </w:rPr>
        <w:t xml:space="preserve"> </w:t>
      </w:r>
      <w:r w:rsidR="00005132" w:rsidRPr="0003060E">
        <w:rPr>
          <w:rFonts w:cstheme="minorHAnsi"/>
        </w:rPr>
        <w:t xml:space="preserve">However, some still see the field especially for arbitrators as still rather closed. A select group are </w:t>
      </w:r>
      <w:r w:rsidR="005F1227" w:rsidRPr="0003060E">
        <w:rPr>
          <w:rFonts w:cstheme="minorHAnsi"/>
        </w:rPr>
        <w:t xml:space="preserve">indeed </w:t>
      </w:r>
      <w:r w:rsidR="00005132" w:rsidRPr="0003060E">
        <w:rPr>
          <w:rFonts w:cstheme="minorHAnsi"/>
        </w:rPr>
        <w:t xml:space="preserve">often chosen to resolve especially ISA cases, although such concentrations are often found in human networks: </w:t>
      </w:r>
      <w:r w:rsidR="005F1227" w:rsidRPr="0003060E">
        <w:rPr>
          <w:rFonts w:cstheme="minorHAnsi"/>
        </w:rPr>
        <w:t xml:space="preserve">see </w:t>
      </w:r>
      <w:r w:rsidR="00005132" w:rsidRPr="0003060E">
        <w:rPr>
          <w:rFonts w:cstheme="minorHAnsi"/>
        </w:rPr>
        <w:t>Sergio Puig, ‘Social Capital in the Arbitration Market’</w:t>
      </w:r>
      <w:r w:rsidR="006135E3" w:rsidRPr="0003060E">
        <w:rPr>
          <w:rFonts w:cstheme="minorHAnsi"/>
        </w:rPr>
        <w:t xml:space="preserve"> (2014) 25 </w:t>
      </w:r>
      <w:r w:rsidR="006135E3" w:rsidRPr="0003060E">
        <w:rPr>
          <w:rFonts w:cstheme="minorHAnsi"/>
          <w:i/>
          <w:iCs/>
        </w:rPr>
        <w:t xml:space="preserve">European Journal of International Law </w:t>
      </w:r>
      <w:r w:rsidR="006135E3" w:rsidRPr="0003060E">
        <w:rPr>
          <w:rFonts w:cstheme="minorHAnsi"/>
        </w:rPr>
        <w:t>387</w:t>
      </w:r>
      <w:r w:rsidR="00005132" w:rsidRPr="0003060E">
        <w:rPr>
          <w:rFonts w:cstheme="minorHAnsi"/>
        </w:rPr>
        <w:t xml:space="preserve">. </w:t>
      </w:r>
      <w:r w:rsidR="006135E3" w:rsidRPr="0003060E">
        <w:rPr>
          <w:rFonts w:cstheme="minorHAnsi"/>
        </w:rPr>
        <w:t>More recently and comprehensively</w:t>
      </w:r>
      <w:r w:rsidR="005F1227" w:rsidRPr="0003060E">
        <w:rPr>
          <w:rFonts w:cstheme="minorHAnsi"/>
        </w:rPr>
        <w:t xml:space="preserve"> across IA</w:t>
      </w:r>
      <w:r w:rsidR="006135E3" w:rsidRPr="0003060E">
        <w:rPr>
          <w:rFonts w:cstheme="minorHAnsi"/>
        </w:rPr>
        <w:t>, see</w:t>
      </w:r>
      <w:r w:rsidRPr="0003060E">
        <w:rPr>
          <w:rFonts w:cstheme="minorHAnsi"/>
        </w:rPr>
        <w:t xml:space="preserve"> generally </w:t>
      </w:r>
      <w:r w:rsidR="002A09F3" w:rsidRPr="0003060E">
        <w:rPr>
          <w:rFonts w:cstheme="minorHAnsi"/>
        </w:rPr>
        <w:t xml:space="preserve">Giorgio Fabio </w:t>
      </w:r>
      <w:r w:rsidRPr="0003060E">
        <w:rPr>
          <w:rFonts w:cstheme="minorHAnsi"/>
        </w:rPr>
        <w:t xml:space="preserve">Colombo et al </w:t>
      </w:r>
      <w:r w:rsidR="002A09F3" w:rsidRPr="0003060E">
        <w:rPr>
          <w:rFonts w:cstheme="minorHAnsi"/>
        </w:rPr>
        <w:t>(</w:t>
      </w:r>
      <w:r w:rsidRPr="0003060E">
        <w:rPr>
          <w:rFonts w:cstheme="minorHAnsi"/>
        </w:rPr>
        <w:t>eds</w:t>
      </w:r>
      <w:r w:rsidR="002A09F3" w:rsidRPr="0003060E">
        <w:rPr>
          <w:rFonts w:cstheme="minorHAnsi"/>
        </w:rPr>
        <w:t xml:space="preserve">), </w:t>
      </w:r>
      <w:r w:rsidR="00874024" w:rsidRPr="0003060E">
        <w:rPr>
          <w:rFonts w:cstheme="minorHAnsi"/>
          <w:i/>
          <w:iCs/>
        </w:rPr>
        <w:t>Diversity in International Arbitration</w:t>
      </w:r>
      <w:r w:rsidR="006E71E9" w:rsidRPr="0003060E">
        <w:rPr>
          <w:rFonts w:cstheme="minorHAnsi"/>
          <w:i/>
          <w:iCs/>
        </w:rPr>
        <w:t>: Why it Matters and How to Sustain It</w:t>
      </w:r>
      <w:r w:rsidRPr="0003060E">
        <w:rPr>
          <w:rFonts w:cstheme="minorHAnsi"/>
        </w:rPr>
        <w:t xml:space="preserve"> </w:t>
      </w:r>
      <w:r w:rsidR="006E71E9" w:rsidRPr="0003060E">
        <w:rPr>
          <w:rFonts w:cstheme="minorHAnsi"/>
        </w:rPr>
        <w:t xml:space="preserve">(Elgar, </w:t>
      </w:r>
      <w:r w:rsidRPr="0003060E">
        <w:rPr>
          <w:rFonts w:cstheme="minorHAnsi"/>
        </w:rPr>
        <w:t>2022</w:t>
      </w:r>
      <w:r w:rsidR="006E71E9" w:rsidRPr="0003060E">
        <w:rPr>
          <w:rFonts w:cstheme="minorHAnsi"/>
        </w:rPr>
        <w:t>)</w:t>
      </w:r>
      <w:r w:rsidR="004B39E7" w:rsidRPr="0003060E">
        <w:rPr>
          <w:rFonts w:cstheme="minorHAnsi"/>
        </w:rPr>
        <w:t>.</w:t>
      </w:r>
      <w:r w:rsidRPr="0003060E">
        <w:rPr>
          <w:rFonts w:cstheme="minorHAnsi"/>
        </w:rPr>
        <w:t xml:space="preserve"> </w:t>
      </w:r>
    </w:p>
  </w:footnote>
  <w:footnote w:id="69">
    <w:p w14:paraId="68F59A96" w14:textId="1B5CB2CC" w:rsidR="00D85894" w:rsidRPr="0003060E" w:rsidRDefault="00D85894">
      <w:pPr>
        <w:pStyle w:val="FootnoteText"/>
        <w:rPr>
          <w:rFonts w:cstheme="minorHAnsi"/>
        </w:rPr>
      </w:pPr>
      <w:r w:rsidRPr="0003060E">
        <w:rPr>
          <w:rStyle w:val="FootnoteReference"/>
          <w:rFonts w:cstheme="minorHAnsi"/>
        </w:rPr>
        <w:footnoteRef/>
      </w:r>
      <w:r w:rsidRPr="0003060E">
        <w:rPr>
          <w:rFonts w:cstheme="minorHAnsi"/>
        </w:rPr>
        <w:t xml:space="preserve"> See</w:t>
      </w:r>
      <w:r w:rsidR="007F558C" w:rsidRPr="0003060E">
        <w:rPr>
          <w:rFonts w:cstheme="minorHAnsi"/>
        </w:rPr>
        <w:t>,</w:t>
      </w:r>
      <w:r w:rsidRPr="0003060E">
        <w:rPr>
          <w:rFonts w:cstheme="minorHAnsi"/>
        </w:rPr>
        <w:t xml:space="preserve"> </w:t>
      </w:r>
      <w:proofErr w:type="spellStart"/>
      <w:r w:rsidRPr="0003060E">
        <w:rPr>
          <w:rFonts w:cstheme="minorHAnsi"/>
        </w:rPr>
        <w:t>eg</w:t>
      </w:r>
      <w:proofErr w:type="spellEnd"/>
      <w:r w:rsidR="00507336" w:rsidRPr="0003060E">
        <w:rPr>
          <w:rFonts w:cstheme="minorHAnsi"/>
        </w:rPr>
        <w:t xml:space="preserve">, Greenberg </w:t>
      </w:r>
      <w:proofErr w:type="spellStart"/>
      <w:proofErr w:type="gramStart"/>
      <w:r w:rsidR="00507336" w:rsidRPr="0003060E">
        <w:rPr>
          <w:rFonts w:cstheme="minorHAnsi"/>
        </w:rPr>
        <w:t>eg</w:t>
      </w:r>
      <w:proofErr w:type="spellEnd"/>
      <w:proofErr w:type="gramEnd"/>
      <w:r w:rsidR="00507336" w:rsidRPr="0003060E">
        <w:rPr>
          <w:rFonts w:cstheme="minorHAnsi"/>
        </w:rPr>
        <w:t xml:space="preserve"> al (n 47)</w:t>
      </w:r>
      <w:r w:rsidR="00EB413D" w:rsidRPr="0003060E">
        <w:rPr>
          <w:rFonts w:cstheme="minorHAnsi"/>
          <w:lang w:val="en-US"/>
        </w:rPr>
        <w:t xml:space="preserve"> </w:t>
      </w:r>
      <w:r w:rsidR="0002795E" w:rsidRPr="0003060E">
        <w:rPr>
          <w:rFonts w:cstheme="minorHAnsi"/>
        </w:rPr>
        <w:t>318-22</w:t>
      </w:r>
      <w:r w:rsidRPr="0003060E">
        <w:rPr>
          <w:rFonts w:cstheme="minorHAnsi"/>
        </w:rPr>
        <w:t>.</w:t>
      </w:r>
    </w:p>
  </w:footnote>
  <w:footnote w:id="70">
    <w:p w14:paraId="0A8EA1F6" w14:textId="788F19D4" w:rsidR="00D85894" w:rsidRPr="0003060E" w:rsidRDefault="00D85894">
      <w:pPr>
        <w:pStyle w:val="FootnoteText"/>
        <w:rPr>
          <w:rFonts w:cstheme="minorHAnsi"/>
        </w:rPr>
      </w:pPr>
      <w:r w:rsidRPr="0003060E">
        <w:rPr>
          <w:rStyle w:val="FootnoteReference"/>
          <w:rFonts w:cstheme="minorHAnsi"/>
        </w:rPr>
        <w:footnoteRef/>
      </w:r>
      <w:r w:rsidRPr="0003060E">
        <w:rPr>
          <w:rFonts w:cstheme="minorHAnsi"/>
        </w:rPr>
        <w:t xml:space="preserve"> But see, declining to apply a situation listed in the Non-</w:t>
      </w:r>
      <w:r w:rsidR="00EB7E98" w:rsidRPr="0003060E">
        <w:rPr>
          <w:rFonts w:cstheme="minorHAnsi"/>
        </w:rPr>
        <w:t xml:space="preserve">Waivable Red List without assessing the circumstances of the </w:t>
      </w:r>
      <w:proofErr w:type="gramStart"/>
      <w:r w:rsidR="00EB7E98" w:rsidRPr="0003060E">
        <w:rPr>
          <w:rFonts w:cstheme="minorHAnsi"/>
        </w:rPr>
        <w:t>particular arbitrator</w:t>
      </w:r>
      <w:proofErr w:type="gramEnd"/>
      <w:r w:rsidR="00EB7E98" w:rsidRPr="0003060E">
        <w:rPr>
          <w:rFonts w:cstheme="minorHAnsi"/>
        </w:rPr>
        <w:t xml:space="preserve">, </w:t>
      </w:r>
      <w:r w:rsidR="00176458" w:rsidRPr="0003060E">
        <w:rPr>
          <w:rFonts w:cstheme="minorHAnsi"/>
          <w:i/>
          <w:iCs/>
          <w:lang w:val="en-US"/>
        </w:rPr>
        <w:t xml:space="preserve">W Ltd v M </w:t>
      </w:r>
      <w:r w:rsidR="00176458" w:rsidRPr="0003060E">
        <w:rPr>
          <w:rFonts w:cstheme="minorHAnsi"/>
          <w:lang w:val="en-US"/>
        </w:rPr>
        <w:t>[2016] EWHC 422</w:t>
      </w:r>
      <w:r w:rsidR="00EB7E98" w:rsidRPr="0003060E">
        <w:rPr>
          <w:rFonts w:cstheme="minorHAnsi"/>
        </w:rPr>
        <w:t>.</w:t>
      </w:r>
      <w:r w:rsidR="00092705" w:rsidRPr="0003060E">
        <w:rPr>
          <w:rFonts w:cstheme="minorHAnsi"/>
        </w:rPr>
        <w:t xml:space="preserve"> On this and other recent criticisms of the Guidelines, including from Gary Born, see Umang Bhat Nair, ’The IBA Guidelines on Conflict of Interest: Time for a Relook’ </w:t>
      </w:r>
      <w:r w:rsidR="00092705" w:rsidRPr="0003060E">
        <w:rPr>
          <w:rFonts w:cstheme="minorHAnsi"/>
          <w:i/>
          <w:iCs/>
        </w:rPr>
        <w:t xml:space="preserve">Kluwer Arbitration Blog </w:t>
      </w:r>
      <w:r w:rsidR="00092705" w:rsidRPr="0003060E">
        <w:rPr>
          <w:rFonts w:cstheme="minorHAnsi"/>
        </w:rPr>
        <w:t>(Blog Post, 29 March 2023) &lt;https://arbitrationblog.kluwerarbitration.com/2023/03/29/the-iba-guidelines-on-conflicts-of-interest-time-for-a-relook/&gt;.</w:t>
      </w:r>
    </w:p>
  </w:footnote>
  <w:footnote w:id="71">
    <w:p w14:paraId="18DBF1B6" w14:textId="6C9B60B5" w:rsidR="001A178F" w:rsidRPr="0003060E" w:rsidRDefault="001A178F">
      <w:pPr>
        <w:pStyle w:val="FootnoteText"/>
        <w:rPr>
          <w:rFonts w:cstheme="minorHAnsi"/>
        </w:rPr>
      </w:pPr>
      <w:r w:rsidRPr="0003060E">
        <w:rPr>
          <w:rStyle w:val="FootnoteReference"/>
          <w:rFonts w:cstheme="minorHAnsi"/>
        </w:rPr>
        <w:footnoteRef/>
      </w:r>
      <w:r w:rsidRPr="0003060E">
        <w:rPr>
          <w:rFonts w:cstheme="minorHAnsi"/>
        </w:rPr>
        <w:t xml:space="preserve"> Michael Bond, ‘A Geography of International Arbitration’ (2005) 21(1) </w:t>
      </w:r>
      <w:r w:rsidRPr="0003060E">
        <w:rPr>
          <w:rFonts w:cstheme="minorHAnsi"/>
          <w:i/>
          <w:iCs/>
        </w:rPr>
        <w:t xml:space="preserve">Journal of International Arbitration </w:t>
      </w:r>
      <w:r w:rsidRPr="0003060E">
        <w:rPr>
          <w:rFonts w:cstheme="minorHAnsi"/>
        </w:rPr>
        <w:t xml:space="preserve">99. For a recent empirical study confirming the dominance of private lawyers generally nowadays on the main bodies producing soft law, arbitration rules and other resources for international arbitration, see Luke Nottage, Nobumichi Teramura and James Tanna, ‘Lawyers and Non-Lawyers in International Arbitration: Discovering Diminishing Diversity’ (2024) </w:t>
      </w:r>
      <w:r w:rsidRPr="0003060E">
        <w:rPr>
          <w:rFonts w:cstheme="minorHAnsi"/>
          <w:i/>
          <w:iCs/>
        </w:rPr>
        <w:t>Loyola of Los Angeles International and Comparative Law Review</w:t>
      </w:r>
      <w:r w:rsidRPr="0003060E">
        <w:rPr>
          <w:rFonts w:cstheme="minorHAnsi"/>
        </w:rPr>
        <w:t>, forthcoming, manuscript at &lt;</w:t>
      </w:r>
      <w:hyperlink r:id="rId27" w:tgtFrame="_blank" w:history="1">
        <w:r w:rsidRPr="0003060E">
          <w:rPr>
            <w:rStyle w:val="Hyperlink"/>
            <w:rFonts w:cstheme="minorHAnsi"/>
          </w:rPr>
          <w:t>https://ssrn.com/abstract=3926914</w:t>
        </w:r>
      </w:hyperlink>
      <w:r w:rsidRPr="0003060E">
        <w:rPr>
          <w:rFonts w:cstheme="minorHAnsi"/>
        </w:rPr>
        <w:t>&gt;.</w:t>
      </w:r>
    </w:p>
  </w:footnote>
  <w:footnote w:id="72">
    <w:p w14:paraId="2C260F9C" w14:textId="324F0380" w:rsidR="00EB7E98" w:rsidRPr="0003060E" w:rsidRDefault="00EB7E98">
      <w:pPr>
        <w:pStyle w:val="FootnoteText"/>
        <w:rPr>
          <w:rFonts w:cstheme="minorHAnsi"/>
        </w:rPr>
      </w:pPr>
      <w:r w:rsidRPr="0003060E">
        <w:rPr>
          <w:rStyle w:val="FootnoteReference"/>
          <w:rFonts w:cstheme="minorHAnsi"/>
        </w:rPr>
        <w:footnoteRef/>
      </w:r>
      <w:r w:rsidRPr="0003060E">
        <w:rPr>
          <w:rFonts w:cstheme="minorHAnsi"/>
        </w:rPr>
        <w:t xml:space="preserve"> </w:t>
      </w:r>
      <w:r w:rsidR="003074C5" w:rsidRPr="0003060E">
        <w:rPr>
          <w:rFonts w:cstheme="minorHAnsi"/>
        </w:rPr>
        <w:t>Michael Schneider, ‘The Essential Guidelines for the Preparation of Guidelines, Directives, Notes, Protocols and other Methods intended to help International arbitration Practitioners to avoid the need for Independent Thinking and to promote the Transformation of Errors into “Best Practices”</w:t>
      </w:r>
      <w:r w:rsidR="00B03ACB" w:rsidRPr="0003060E">
        <w:rPr>
          <w:rFonts w:cstheme="minorHAnsi"/>
        </w:rPr>
        <w:t>’</w:t>
      </w:r>
      <w:r w:rsidR="003074C5" w:rsidRPr="0003060E">
        <w:rPr>
          <w:rFonts w:cstheme="minorHAnsi"/>
        </w:rPr>
        <w:t xml:space="preserve"> in Laurent Levy and Yves </w:t>
      </w:r>
      <w:proofErr w:type="spellStart"/>
      <w:r w:rsidR="003074C5" w:rsidRPr="0003060E">
        <w:rPr>
          <w:rFonts w:cstheme="minorHAnsi"/>
        </w:rPr>
        <w:t>Derains</w:t>
      </w:r>
      <w:proofErr w:type="spellEnd"/>
      <w:r w:rsidR="003074C5" w:rsidRPr="0003060E">
        <w:rPr>
          <w:rFonts w:cstheme="minorHAnsi"/>
        </w:rPr>
        <w:t xml:space="preserve"> (eds), </w:t>
      </w:r>
      <w:r w:rsidR="00B03ACB" w:rsidRPr="0003060E">
        <w:rPr>
          <w:rFonts w:cstheme="minorHAnsi"/>
          <w:i/>
          <w:iCs/>
        </w:rPr>
        <w:t xml:space="preserve">Liber </w:t>
      </w:r>
      <w:proofErr w:type="spellStart"/>
      <w:r w:rsidR="00B03ACB" w:rsidRPr="0003060E">
        <w:rPr>
          <w:rFonts w:cstheme="minorHAnsi"/>
          <w:i/>
          <w:iCs/>
        </w:rPr>
        <w:t>amicorum</w:t>
      </w:r>
      <w:proofErr w:type="spellEnd"/>
      <w:r w:rsidR="00B03ACB" w:rsidRPr="0003060E">
        <w:rPr>
          <w:rFonts w:cstheme="minorHAnsi"/>
          <w:i/>
          <w:iCs/>
        </w:rPr>
        <w:t xml:space="preserve"> </w:t>
      </w:r>
      <w:proofErr w:type="spellStart"/>
      <w:r w:rsidR="00B03ACB" w:rsidRPr="0003060E">
        <w:rPr>
          <w:rFonts w:cstheme="minorHAnsi"/>
          <w:i/>
          <w:iCs/>
        </w:rPr>
        <w:t>en</w:t>
      </w:r>
      <w:proofErr w:type="spellEnd"/>
      <w:r w:rsidR="00B03ACB" w:rsidRPr="0003060E">
        <w:rPr>
          <w:rFonts w:cstheme="minorHAnsi"/>
          <w:i/>
          <w:iCs/>
        </w:rPr>
        <w:t xml:space="preserve"> </w:t>
      </w:r>
      <w:proofErr w:type="spellStart"/>
      <w:r w:rsidR="00B03ACB" w:rsidRPr="0003060E">
        <w:rPr>
          <w:rFonts w:cstheme="minorHAnsi"/>
          <w:i/>
          <w:iCs/>
        </w:rPr>
        <w:t>l'honneur</w:t>
      </w:r>
      <w:proofErr w:type="spellEnd"/>
      <w:r w:rsidR="00B03ACB" w:rsidRPr="0003060E">
        <w:rPr>
          <w:rFonts w:cstheme="minorHAnsi"/>
          <w:i/>
          <w:iCs/>
        </w:rPr>
        <w:t xml:space="preserve"> de Serge </w:t>
      </w:r>
      <w:proofErr w:type="spellStart"/>
      <w:r w:rsidR="00B03ACB" w:rsidRPr="0003060E">
        <w:rPr>
          <w:rFonts w:cstheme="minorHAnsi"/>
          <w:i/>
          <w:iCs/>
        </w:rPr>
        <w:t>Lazareff</w:t>
      </w:r>
      <w:proofErr w:type="spellEnd"/>
      <w:r w:rsidR="00B03ACB" w:rsidRPr="0003060E">
        <w:rPr>
          <w:rFonts w:cstheme="minorHAnsi"/>
          <w:i/>
          <w:iCs/>
        </w:rPr>
        <w:t xml:space="preserve"> </w:t>
      </w:r>
      <w:r w:rsidR="00B03ACB" w:rsidRPr="0003060E">
        <w:rPr>
          <w:rFonts w:cstheme="minorHAnsi"/>
        </w:rPr>
        <w:t>(</w:t>
      </w:r>
      <w:r w:rsidR="00E31BEF" w:rsidRPr="0003060E">
        <w:rPr>
          <w:rFonts w:cstheme="minorHAnsi"/>
        </w:rPr>
        <w:t xml:space="preserve">Éditions Pedone, </w:t>
      </w:r>
      <w:r w:rsidR="00B03ACB" w:rsidRPr="0003060E">
        <w:rPr>
          <w:rFonts w:cstheme="minorHAnsi"/>
        </w:rPr>
        <w:t>2011)</w:t>
      </w:r>
      <w:r w:rsidR="004A0CC0" w:rsidRPr="0003060E">
        <w:rPr>
          <w:rFonts w:cstheme="minorHAnsi"/>
        </w:rPr>
        <w:t xml:space="preserve"> as cited in </w:t>
      </w:r>
      <w:r w:rsidR="004D389D" w:rsidRPr="0003060E">
        <w:rPr>
          <w:rFonts w:cstheme="minorHAnsi"/>
        </w:rPr>
        <w:t xml:space="preserve">Diego Fernandez Arroyo, ‘Soft Law and Arbitral Procedure: A </w:t>
      </w:r>
      <w:r w:rsidR="008065CA" w:rsidRPr="0003060E">
        <w:rPr>
          <w:rFonts w:cstheme="minorHAnsi"/>
        </w:rPr>
        <w:t>C</w:t>
      </w:r>
      <w:r w:rsidR="004D389D" w:rsidRPr="0003060E">
        <w:rPr>
          <w:rFonts w:cstheme="minorHAnsi"/>
        </w:rPr>
        <w:t>onditioned But Inescapable Couple’</w:t>
      </w:r>
      <w:r w:rsidR="00971026" w:rsidRPr="0003060E">
        <w:rPr>
          <w:rFonts w:cstheme="minorHAnsi"/>
        </w:rPr>
        <w:t xml:space="preserve"> (</w:t>
      </w:r>
      <w:r w:rsidR="0099352C" w:rsidRPr="0003060E">
        <w:rPr>
          <w:rFonts w:cstheme="minorHAnsi"/>
        </w:rPr>
        <w:t xml:space="preserve">2018) </w:t>
      </w:r>
      <w:r w:rsidR="008A0BB3" w:rsidRPr="0003060E">
        <w:rPr>
          <w:rFonts w:cstheme="minorHAnsi"/>
        </w:rPr>
        <w:t xml:space="preserve">7(2) </w:t>
      </w:r>
      <w:r w:rsidR="008A0BB3" w:rsidRPr="0003060E">
        <w:rPr>
          <w:rFonts w:cstheme="minorHAnsi"/>
          <w:i/>
          <w:iCs/>
        </w:rPr>
        <w:t>European International Arbitration Review</w:t>
      </w:r>
      <w:r w:rsidR="008A0BB3" w:rsidRPr="0003060E">
        <w:rPr>
          <w:rFonts w:cstheme="minorHAnsi"/>
        </w:rPr>
        <w:t xml:space="preserve"> 78, n 28.</w:t>
      </w:r>
    </w:p>
  </w:footnote>
  <w:footnote w:id="73">
    <w:p w14:paraId="020B895A" w14:textId="66315D57" w:rsidR="00B80E9E" w:rsidRPr="0003060E" w:rsidRDefault="00B80E9E">
      <w:pPr>
        <w:pStyle w:val="FootnoteText"/>
        <w:rPr>
          <w:rFonts w:cstheme="minorHAnsi"/>
        </w:rPr>
      </w:pPr>
      <w:r w:rsidRPr="0003060E">
        <w:rPr>
          <w:rStyle w:val="FootnoteReference"/>
          <w:rFonts w:cstheme="minorHAnsi"/>
        </w:rPr>
        <w:footnoteRef/>
      </w:r>
      <w:r w:rsidRPr="0003060E">
        <w:rPr>
          <w:rFonts w:cstheme="minorHAnsi"/>
        </w:rPr>
        <w:t xml:space="preserve"> </w:t>
      </w:r>
      <w:r w:rsidR="004E1409" w:rsidRPr="0003060E">
        <w:rPr>
          <w:rFonts w:cstheme="minorHAnsi"/>
        </w:rPr>
        <w:t>Michael Schneider, ‘</w:t>
      </w:r>
      <w:r w:rsidR="00F424D1" w:rsidRPr="0003060E">
        <w:rPr>
          <w:rFonts w:cstheme="minorHAnsi"/>
        </w:rPr>
        <w:t xml:space="preserve">President’s Message: Yet another opportunity to waste time and money on procedural skirmishes: The IBA Guidelines on Party Representation’ </w:t>
      </w:r>
      <w:r w:rsidR="00265746" w:rsidRPr="0003060E">
        <w:rPr>
          <w:rFonts w:cstheme="minorHAnsi"/>
        </w:rPr>
        <w:t xml:space="preserve">(2013) 31(3) </w:t>
      </w:r>
      <w:r w:rsidR="00265746" w:rsidRPr="0003060E">
        <w:rPr>
          <w:rFonts w:cstheme="minorHAnsi"/>
          <w:i/>
          <w:iCs/>
        </w:rPr>
        <w:t xml:space="preserve">ASA Bulletin </w:t>
      </w:r>
      <w:r w:rsidR="00265746" w:rsidRPr="0003060E">
        <w:rPr>
          <w:rFonts w:cstheme="minorHAnsi"/>
        </w:rPr>
        <w:t xml:space="preserve">497-501. </w:t>
      </w:r>
    </w:p>
  </w:footnote>
  <w:footnote w:id="74">
    <w:p w14:paraId="470D4831" w14:textId="0175C436" w:rsidR="007B3D73" w:rsidRPr="0003060E" w:rsidRDefault="007B3D73">
      <w:pPr>
        <w:pStyle w:val="FootnoteText"/>
        <w:rPr>
          <w:rFonts w:cstheme="minorHAnsi"/>
        </w:rPr>
      </w:pPr>
      <w:r w:rsidRPr="0003060E">
        <w:rPr>
          <w:rStyle w:val="FootnoteReference"/>
          <w:rFonts w:cstheme="minorHAnsi"/>
        </w:rPr>
        <w:footnoteRef/>
      </w:r>
      <w:r w:rsidRPr="0003060E">
        <w:rPr>
          <w:rFonts w:cstheme="minorHAnsi"/>
        </w:rPr>
        <w:t xml:space="preserve"> </w:t>
      </w:r>
      <w:r w:rsidR="00092705" w:rsidRPr="0003060E">
        <w:rPr>
          <w:rFonts w:cstheme="minorHAnsi"/>
        </w:rPr>
        <w:t xml:space="preserve">Under the Art 7 principle that ‘the court knows the law’, </w:t>
      </w:r>
      <w:r w:rsidR="00AB1AF0" w:rsidRPr="0003060E">
        <w:rPr>
          <w:rFonts w:cstheme="minorHAnsi"/>
        </w:rPr>
        <w:t xml:space="preserve">also </w:t>
      </w:r>
      <w:r w:rsidR="00092705" w:rsidRPr="0003060E">
        <w:rPr>
          <w:rFonts w:cstheme="minorHAnsi"/>
        </w:rPr>
        <w:t xml:space="preserve">derived from the civil law tradition, the tribunal can apply legal provisions not pleaded by the parties if it finds it necessary but shall seek the parties' views on them. </w:t>
      </w:r>
      <w:r w:rsidRPr="0003060E">
        <w:rPr>
          <w:rFonts w:cstheme="minorHAnsi"/>
        </w:rPr>
        <w:t>See</w:t>
      </w:r>
      <w:r w:rsidR="00AB1AF0" w:rsidRPr="0003060E">
        <w:rPr>
          <w:rFonts w:cstheme="minorHAnsi"/>
        </w:rPr>
        <w:t xml:space="preserve"> generally</w:t>
      </w:r>
      <w:r w:rsidR="00681AA7" w:rsidRPr="0003060E">
        <w:rPr>
          <w:rFonts w:cstheme="minorHAnsi"/>
        </w:rPr>
        <w:t xml:space="preserve"> ‘News’, </w:t>
      </w:r>
      <w:r w:rsidR="00681AA7" w:rsidRPr="0003060E">
        <w:rPr>
          <w:rFonts w:cstheme="minorHAnsi"/>
          <w:i/>
          <w:iCs/>
        </w:rPr>
        <w:t>Prague Rules</w:t>
      </w:r>
      <w:r w:rsidR="00C24538" w:rsidRPr="0003060E">
        <w:rPr>
          <w:rFonts w:cstheme="minorHAnsi"/>
        </w:rPr>
        <w:t xml:space="preserve"> (Web Page)</w:t>
      </w:r>
      <w:r w:rsidRPr="0003060E">
        <w:rPr>
          <w:rFonts w:cstheme="minorHAnsi"/>
        </w:rPr>
        <w:t xml:space="preserve"> </w:t>
      </w:r>
      <w:r w:rsidR="003B34AC" w:rsidRPr="0003060E">
        <w:rPr>
          <w:rFonts w:cstheme="minorHAnsi"/>
        </w:rPr>
        <w:t>&lt;</w:t>
      </w:r>
      <w:hyperlink r:id="rId28" w:history="1">
        <w:r w:rsidR="003B34AC" w:rsidRPr="0003060E">
          <w:rPr>
            <w:rStyle w:val="Hyperlink"/>
            <w:rFonts w:cstheme="minorHAnsi"/>
          </w:rPr>
          <w:t>https://praguerules.com/</w:t>
        </w:r>
      </w:hyperlink>
      <w:r w:rsidR="003B34AC" w:rsidRPr="0003060E">
        <w:rPr>
          <w:rFonts w:cstheme="minorHAnsi"/>
        </w:rPr>
        <w:t>&gt;</w:t>
      </w:r>
      <w:r w:rsidRPr="0003060E">
        <w:rPr>
          <w:rFonts w:cstheme="minorHAnsi"/>
        </w:rPr>
        <w:t xml:space="preserve"> and generally </w:t>
      </w:r>
      <w:r w:rsidRPr="0003060E">
        <w:rPr>
          <w:rFonts w:cstheme="minorHAnsi"/>
          <w:lang w:val="en-GB"/>
        </w:rPr>
        <w:t xml:space="preserve">Kabir Duggal </w:t>
      </w:r>
      <w:r w:rsidR="004627B3" w:rsidRPr="0003060E">
        <w:rPr>
          <w:rFonts w:cstheme="minorHAnsi"/>
          <w:lang w:val="en-GB"/>
        </w:rPr>
        <w:t>and</w:t>
      </w:r>
      <w:r w:rsidRPr="0003060E">
        <w:rPr>
          <w:rFonts w:cstheme="minorHAnsi"/>
          <w:lang w:val="en-GB"/>
        </w:rPr>
        <w:t xml:space="preserve"> Rekha Rangachari, </w:t>
      </w:r>
      <w:r w:rsidR="00F6132F" w:rsidRPr="0003060E">
        <w:rPr>
          <w:rFonts w:cstheme="minorHAnsi"/>
          <w:lang w:val="en-GB"/>
        </w:rPr>
        <w:t>‘</w:t>
      </w:r>
      <w:r w:rsidRPr="0003060E">
        <w:rPr>
          <w:rFonts w:cstheme="minorHAnsi"/>
          <w:iCs/>
          <w:lang w:val="en-GB"/>
        </w:rPr>
        <w:t>A Challenger Approaches: An Assessment of the Prague Rules on the Efficient Conduct of Proceedings in International Arbitration</w:t>
      </w:r>
      <w:r w:rsidR="00F6132F" w:rsidRPr="0003060E">
        <w:rPr>
          <w:rFonts w:cstheme="minorHAnsi"/>
          <w:iCs/>
          <w:lang w:val="en-GB"/>
        </w:rPr>
        <w:t>’</w:t>
      </w:r>
      <w:r w:rsidR="00DE2223" w:rsidRPr="0003060E">
        <w:rPr>
          <w:rFonts w:cstheme="minorHAnsi"/>
          <w:lang w:val="en-GB"/>
        </w:rPr>
        <w:t xml:space="preserve"> (2020)</w:t>
      </w:r>
      <w:r w:rsidRPr="0003060E">
        <w:rPr>
          <w:rFonts w:cstheme="minorHAnsi"/>
          <w:lang w:val="en-GB"/>
        </w:rPr>
        <w:t xml:space="preserve"> 37 </w:t>
      </w:r>
      <w:r w:rsidRPr="0003060E">
        <w:rPr>
          <w:rFonts w:cstheme="minorHAnsi"/>
          <w:i/>
          <w:iCs/>
          <w:lang w:val="en-GB"/>
        </w:rPr>
        <w:t>J</w:t>
      </w:r>
      <w:r w:rsidR="00DE2223" w:rsidRPr="0003060E">
        <w:rPr>
          <w:rFonts w:cstheme="minorHAnsi"/>
          <w:i/>
          <w:iCs/>
          <w:lang w:val="en-GB"/>
        </w:rPr>
        <w:t>ournal of International Arbitration</w:t>
      </w:r>
      <w:r w:rsidR="00DE2223" w:rsidRPr="0003060E">
        <w:rPr>
          <w:rFonts w:cstheme="minorHAnsi"/>
          <w:lang w:val="en-GB"/>
        </w:rPr>
        <w:t xml:space="preserve"> </w:t>
      </w:r>
      <w:r w:rsidRPr="0003060E">
        <w:rPr>
          <w:rFonts w:cstheme="minorHAnsi"/>
          <w:lang w:val="en-GB"/>
        </w:rPr>
        <w:t>27.</w:t>
      </w:r>
      <w:r w:rsidR="001F0DFF" w:rsidRPr="0003060E">
        <w:rPr>
          <w:rFonts w:cstheme="minorHAnsi"/>
          <w:lang w:val="en-GB"/>
        </w:rPr>
        <w:t xml:space="preserve"> Crook (n 63, 110-11) also briefly notes the Prague Rules as a recent example of pushback towards harmonisation of procedure in international dispute resolution.</w:t>
      </w:r>
    </w:p>
  </w:footnote>
  <w:footnote w:id="75">
    <w:p w14:paraId="2F2E6264" w14:textId="379BA8C3" w:rsidR="00AB1AF0" w:rsidRPr="0003060E" w:rsidRDefault="00AB1AF0">
      <w:pPr>
        <w:pStyle w:val="FootnoteText"/>
        <w:rPr>
          <w:rFonts w:cstheme="minorHAnsi"/>
        </w:rPr>
      </w:pPr>
      <w:r w:rsidRPr="0003060E">
        <w:rPr>
          <w:rStyle w:val="FootnoteReference"/>
          <w:rFonts w:cstheme="minorHAnsi"/>
        </w:rPr>
        <w:footnoteRef/>
      </w:r>
      <w:r w:rsidRPr="0003060E">
        <w:rPr>
          <w:rFonts w:cstheme="minorHAnsi"/>
        </w:rPr>
        <w:t xml:space="preserve"> However, for example, a brief comparative analysis can be found on the HKIAC website: Rafael Roman Cruz and Quisumbing Torres, ‘The Prague Rules and the IBA Rules: Different Sides, Same Coin’ (Web Page, undated) &lt;https://www.hkiac.org/content/prague-rules-and-iba-rules&gt;.</w:t>
      </w:r>
    </w:p>
  </w:footnote>
  <w:footnote w:id="76">
    <w:p w14:paraId="1F8CFFB7" w14:textId="78C9EA05" w:rsidR="00961B22" w:rsidRPr="0003060E" w:rsidRDefault="00961B22">
      <w:pPr>
        <w:pStyle w:val="FootnoteText"/>
        <w:rPr>
          <w:rFonts w:cstheme="minorHAnsi"/>
        </w:rPr>
      </w:pPr>
      <w:r w:rsidRPr="0003060E">
        <w:rPr>
          <w:rStyle w:val="FootnoteReference"/>
          <w:rFonts w:cstheme="minorHAnsi"/>
        </w:rPr>
        <w:footnoteRef/>
      </w:r>
      <w:r w:rsidR="006B1948" w:rsidRPr="0003060E">
        <w:rPr>
          <w:rFonts w:cstheme="minorHAnsi"/>
        </w:rPr>
        <w:t xml:space="preserve"> ‘Arbitration Rules, </w:t>
      </w:r>
      <w:r w:rsidR="006B1948" w:rsidRPr="0003060E">
        <w:rPr>
          <w:rFonts w:cstheme="minorHAnsi"/>
          <w:i/>
          <w:iCs/>
        </w:rPr>
        <w:t>The Japan Commercial Arbitration Association</w:t>
      </w:r>
      <w:r w:rsidR="006B1948" w:rsidRPr="0003060E">
        <w:rPr>
          <w:rFonts w:cstheme="minorHAnsi"/>
        </w:rPr>
        <w:t xml:space="preserve"> (Web Page)</w:t>
      </w:r>
      <w:r w:rsidR="006B7B28" w:rsidRPr="0003060E">
        <w:rPr>
          <w:rFonts w:cstheme="minorHAnsi"/>
        </w:rPr>
        <w:t xml:space="preserve"> &lt;</w:t>
      </w:r>
      <w:hyperlink r:id="rId29" w:history="1">
        <w:r w:rsidR="006B7B28" w:rsidRPr="0003060E">
          <w:rPr>
            <w:rStyle w:val="Hyperlink"/>
            <w:rFonts w:cstheme="minorHAnsi"/>
          </w:rPr>
          <w:t>https://www.jcaa.or.jp/en/arbitration/rules.html</w:t>
        </w:r>
      </w:hyperlink>
      <w:r w:rsidR="006B7B28" w:rsidRPr="0003060E">
        <w:rPr>
          <w:rFonts w:cstheme="minorHAnsi"/>
        </w:rPr>
        <w:t>&gt;.</w:t>
      </w:r>
      <w:r w:rsidRPr="0003060E">
        <w:rPr>
          <w:rFonts w:cstheme="minorHAnsi"/>
        </w:rPr>
        <w:t xml:space="preserve"> </w:t>
      </w:r>
    </w:p>
  </w:footnote>
  <w:footnote w:id="77">
    <w:p w14:paraId="6866524C" w14:textId="2CA07BEC" w:rsidR="00312806" w:rsidRPr="0003060E" w:rsidRDefault="00CB54DB" w:rsidP="008065CA">
      <w:pPr>
        <w:pStyle w:val="FootnoteText"/>
      </w:pPr>
      <w:r w:rsidRPr="0003060E">
        <w:rPr>
          <w:rStyle w:val="FootnoteReference"/>
          <w:rFonts w:cstheme="minorHAnsi"/>
        </w:rPr>
        <w:footnoteRef/>
      </w:r>
      <w:r w:rsidRPr="0003060E">
        <w:rPr>
          <w:rFonts w:cstheme="minorHAnsi"/>
        </w:rPr>
        <w:t xml:space="preserve"> </w:t>
      </w:r>
      <w:r w:rsidR="00312806" w:rsidRPr="0003060E">
        <w:rPr>
          <w:rFonts w:cstheme="minorHAnsi"/>
          <w:lang w:val="en-US"/>
        </w:rPr>
        <w:t xml:space="preserve">Luke Nottage and Richard Garnett, </w:t>
      </w:r>
      <w:r w:rsidR="008E59AF" w:rsidRPr="0003060E">
        <w:rPr>
          <w:rFonts w:cstheme="minorHAnsi"/>
          <w:lang w:val="en-US"/>
        </w:rPr>
        <w:t xml:space="preserve">‘The Top Twenty Things to Change </w:t>
      </w:r>
      <w:proofErr w:type="gramStart"/>
      <w:r w:rsidR="008E59AF" w:rsidRPr="0003060E">
        <w:rPr>
          <w:rFonts w:cstheme="minorHAnsi"/>
          <w:lang w:val="en-US"/>
        </w:rPr>
        <w:t>In</w:t>
      </w:r>
      <w:proofErr w:type="gramEnd"/>
      <w:r w:rsidR="008E59AF" w:rsidRPr="0003060E">
        <w:rPr>
          <w:rFonts w:cstheme="minorHAnsi"/>
          <w:lang w:val="en-US"/>
        </w:rPr>
        <w:t xml:space="preserve"> or Around Australia’s International Arbitration Act’ in </w:t>
      </w:r>
      <w:r w:rsidR="00EA3FE7" w:rsidRPr="0003060E">
        <w:rPr>
          <w:rFonts w:cstheme="minorHAnsi"/>
          <w:lang w:val="en-US"/>
        </w:rPr>
        <w:t xml:space="preserve">Luke Nottage and Richard Garnett (eds), </w:t>
      </w:r>
      <w:r w:rsidR="00915FEB" w:rsidRPr="0003060E">
        <w:rPr>
          <w:rFonts w:cstheme="minorHAnsi"/>
          <w:i/>
          <w:iCs/>
          <w:lang w:val="en-US"/>
        </w:rPr>
        <w:t>International Arbitration in Australia</w:t>
      </w:r>
      <w:r w:rsidR="00915FEB" w:rsidRPr="0003060E">
        <w:rPr>
          <w:rFonts w:cstheme="minorHAnsi"/>
          <w:lang w:val="en-US"/>
        </w:rPr>
        <w:t xml:space="preserve"> (Federation Press, 2010) 149</w:t>
      </w:r>
      <w:r w:rsidR="008065CA" w:rsidRPr="0003060E">
        <w:rPr>
          <w:rFonts w:cstheme="minorHAnsi"/>
          <w:lang w:val="en-US"/>
        </w:rPr>
        <w:t xml:space="preserve">, 179-84. See also </w:t>
      </w:r>
      <w:r w:rsidR="00170C51" w:rsidRPr="0003060E">
        <w:rPr>
          <w:rFonts w:cstheme="minorHAnsi"/>
          <w:lang w:val="en-US"/>
        </w:rPr>
        <w:t xml:space="preserve">Clyde Croft, ‘Alternative Dispute Resolution in Arbitration: Is Arb-Med Really an Option?’, speech </w:t>
      </w:r>
      <w:r w:rsidR="00170C51" w:rsidRPr="0003060E">
        <w:t xml:space="preserve">presented at the International Arbitration Conference, November 2014, Sydney </w:t>
      </w:r>
      <w:r w:rsidR="00170C51" w:rsidRPr="0003060E">
        <w:rPr>
          <w:rFonts w:cstheme="minorHAnsi"/>
          <w:lang w:val="en-US"/>
        </w:rPr>
        <w:t>&lt;https://www.supremecourt.vic.gov.au/about-the-court/speeches/alternative-dispute-resolution-in-arbitration-is-arb-med-really-an-option&gt;;</w:t>
      </w:r>
      <w:r w:rsidR="00170C51" w:rsidRPr="0003060E">
        <w:t xml:space="preserve"> and </w:t>
      </w:r>
      <w:hyperlink r:id="rId30" w:tooltip="Search for more titles by Dilyara Nigmatullina" w:history="1">
        <w:r w:rsidR="008065CA" w:rsidRPr="0003060E">
          <w:rPr>
            <w:rStyle w:val="Hyperlink"/>
            <w:rFonts w:cstheme="minorHAnsi"/>
            <w:color w:val="auto"/>
            <w:u w:val="none"/>
          </w:rPr>
          <w:t xml:space="preserve">Dilyara </w:t>
        </w:r>
        <w:proofErr w:type="spellStart"/>
        <w:r w:rsidR="008065CA" w:rsidRPr="0003060E">
          <w:rPr>
            <w:rStyle w:val="Hyperlink"/>
            <w:rFonts w:cstheme="minorHAnsi"/>
            <w:color w:val="auto"/>
            <w:u w:val="none"/>
          </w:rPr>
          <w:t>Nigmatullina</w:t>
        </w:r>
        <w:proofErr w:type="spellEnd"/>
      </w:hyperlink>
      <w:r w:rsidR="008065CA" w:rsidRPr="0003060E">
        <w:rPr>
          <w:rFonts w:cstheme="minorHAnsi"/>
        </w:rPr>
        <w:t xml:space="preserve">, </w:t>
      </w:r>
      <w:r w:rsidR="008065CA" w:rsidRPr="0003060E">
        <w:rPr>
          <w:rFonts w:cstheme="minorHAnsi"/>
          <w:i/>
          <w:iCs/>
        </w:rPr>
        <w:t xml:space="preserve">Combining Mediation and Arbitration in International Commercial Dispute Resolution </w:t>
      </w:r>
      <w:r w:rsidR="008065CA" w:rsidRPr="0003060E">
        <w:rPr>
          <w:rFonts w:cstheme="minorHAnsi"/>
        </w:rPr>
        <w:t>(Routledge 2018), based on a UWA PhD thesis at &lt;</w:t>
      </w:r>
      <w:hyperlink r:id="rId31" w:history="1">
        <w:r w:rsidR="008065CA" w:rsidRPr="0003060E">
          <w:rPr>
            <w:rStyle w:val="Hyperlink"/>
            <w:rFonts w:cstheme="minorHAnsi"/>
          </w:rPr>
          <w:t>THESIS_DOCTOR_OF_PHILOSOPHY_NIGMATULLINA_Dilyara_2016.PDF</w:t>
        </w:r>
      </w:hyperlink>
      <w:r w:rsidR="008065CA" w:rsidRPr="0003060E">
        <w:rPr>
          <w:rFonts w:cstheme="minorHAnsi"/>
        </w:rPr>
        <w:t>&gt;.</w:t>
      </w:r>
    </w:p>
  </w:footnote>
  <w:footnote w:id="78">
    <w:p w14:paraId="734F5F76" w14:textId="7341E14A" w:rsidR="00233651" w:rsidRPr="0003060E" w:rsidRDefault="00233651" w:rsidP="00233651">
      <w:pPr>
        <w:pStyle w:val="FootnoteText"/>
        <w:contextualSpacing/>
        <w:rPr>
          <w:rFonts w:cstheme="minorHAnsi"/>
        </w:rPr>
      </w:pPr>
      <w:r w:rsidRPr="0003060E">
        <w:rPr>
          <w:rStyle w:val="FootnoteReference"/>
          <w:rFonts w:cstheme="minorHAnsi"/>
        </w:rPr>
        <w:footnoteRef/>
      </w:r>
      <w:r w:rsidRPr="0003060E">
        <w:rPr>
          <w:rFonts w:cstheme="minorHAnsi"/>
        </w:rPr>
        <w:t xml:space="preserve"> Edna Sussman </w:t>
      </w:r>
      <w:r w:rsidR="0021168A" w:rsidRPr="0003060E">
        <w:rPr>
          <w:rFonts w:cstheme="minorHAnsi"/>
        </w:rPr>
        <w:t>and</w:t>
      </w:r>
      <w:r w:rsidRPr="0003060E">
        <w:rPr>
          <w:rFonts w:cstheme="minorHAnsi"/>
        </w:rPr>
        <w:t xml:space="preserve"> Klaus Peter Berger, </w:t>
      </w:r>
      <w:r w:rsidR="0021168A" w:rsidRPr="0003060E">
        <w:rPr>
          <w:rFonts w:cstheme="minorHAnsi"/>
        </w:rPr>
        <w:t>‘</w:t>
      </w:r>
      <w:r w:rsidRPr="0003060E">
        <w:rPr>
          <w:rFonts w:cstheme="minorHAnsi"/>
        </w:rPr>
        <w:t>Arbitrator Techniques and their (Direct or Potential) Effect on Settlement</w:t>
      </w:r>
      <w:r w:rsidR="0021168A" w:rsidRPr="0003060E">
        <w:rPr>
          <w:rFonts w:cstheme="minorHAnsi"/>
        </w:rPr>
        <w:t>’</w:t>
      </w:r>
      <w:r w:rsidRPr="0003060E">
        <w:rPr>
          <w:rFonts w:cstheme="minorHAnsi"/>
        </w:rPr>
        <w:t xml:space="preserve"> </w:t>
      </w:r>
      <w:r w:rsidR="00613321" w:rsidRPr="0003060E">
        <w:rPr>
          <w:rFonts w:cstheme="minorHAnsi"/>
        </w:rPr>
        <w:t xml:space="preserve">(2021) </w:t>
      </w:r>
      <w:r w:rsidRPr="0003060E">
        <w:rPr>
          <w:rFonts w:cstheme="minorHAnsi"/>
        </w:rPr>
        <w:t>14(1)</w:t>
      </w:r>
      <w:r w:rsidRPr="0003060E">
        <w:rPr>
          <w:rFonts w:cstheme="minorHAnsi"/>
          <w:i/>
          <w:iCs/>
        </w:rPr>
        <w:t xml:space="preserve"> NYSBA New York Dispute Resolution Lawyer </w:t>
      </w:r>
      <w:r w:rsidRPr="0003060E">
        <w:rPr>
          <w:rFonts w:cstheme="minorHAnsi"/>
        </w:rPr>
        <w:t>25. See generally</w:t>
      </w:r>
      <w:r w:rsidRPr="0003060E">
        <w:rPr>
          <w:rFonts w:cstheme="minorHAnsi"/>
          <w:i/>
          <w:iCs/>
        </w:rPr>
        <w:t xml:space="preserve"> </w:t>
      </w:r>
      <w:r w:rsidR="00916C1B" w:rsidRPr="0003060E">
        <w:rPr>
          <w:rFonts w:cstheme="minorHAnsi"/>
        </w:rPr>
        <w:t>‘</w:t>
      </w:r>
      <w:r w:rsidRPr="0003060E">
        <w:rPr>
          <w:rFonts w:cstheme="minorHAnsi"/>
        </w:rPr>
        <w:t>Mixed Mode Task Force</w:t>
      </w:r>
      <w:r w:rsidR="00916C1B" w:rsidRPr="0003060E">
        <w:rPr>
          <w:rFonts w:cstheme="minorHAnsi"/>
        </w:rPr>
        <w:t>’</w:t>
      </w:r>
      <w:r w:rsidRPr="0003060E">
        <w:rPr>
          <w:rFonts w:cstheme="minorHAnsi"/>
        </w:rPr>
        <w:t xml:space="preserve">, </w:t>
      </w:r>
      <w:r w:rsidRPr="0003060E">
        <w:rPr>
          <w:rFonts w:cstheme="minorHAnsi"/>
          <w:i/>
          <w:iCs/>
        </w:rPr>
        <w:t>International Mediation Institute</w:t>
      </w:r>
      <w:r w:rsidRPr="0003060E">
        <w:rPr>
          <w:rFonts w:cstheme="minorHAnsi"/>
        </w:rPr>
        <w:t xml:space="preserve"> (</w:t>
      </w:r>
      <w:r w:rsidR="004703B5" w:rsidRPr="0003060E">
        <w:rPr>
          <w:rFonts w:cstheme="minorHAnsi"/>
        </w:rPr>
        <w:t>Web Page</w:t>
      </w:r>
      <w:r w:rsidRPr="0003060E">
        <w:rPr>
          <w:rFonts w:cstheme="minorHAnsi"/>
        </w:rPr>
        <w:t xml:space="preserve">) </w:t>
      </w:r>
      <w:r w:rsidR="009B144A" w:rsidRPr="0003060E">
        <w:rPr>
          <w:rFonts w:cstheme="minorHAnsi"/>
        </w:rPr>
        <w:t>&lt;</w:t>
      </w:r>
      <w:hyperlink r:id="rId32" w:history="1">
        <w:r w:rsidR="009B144A" w:rsidRPr="0003060E">
          <w:rPr>
            <w:rStyle w:val="Hyperlink"/>
            <w:rFonts w:cstheme="minorHAnsi"/>
          </w:rPr>
          <w:t>https://imimediation.org/about/who-are-imi/mixed-mode-task-force/</w:t>
        </w:r>
      </w:hyperlink>
      <w:r w:rsidR="009B144A" w:rsidRPr="0003060E">
        <w:rPr>
          <w:rFonts w:cstheme="minorHAnsi"/>
        </w:rPr>
        <w:t>&gt;</w:t>
      </w:r>
      <w:r w:rsidRPr="0003060E">
        <w:rPr>
          <w:rFonts w:cstheme="minorHAnsi"/>
        </w:rPr>
        <w:t xml:space="preserve">. </w:t>
      </w:r>
    </w:p>
  </w:footnote>
  <w:footnote w:id="79">
    <w:p w14:paraId="7F30A419" w14:textId="0B927D57" w:rsidR="00233651" w:rsidRPr="0003060E" w:rsidRDefault="00233651">
      <w:pPr>
        <w:pStyle w:val="FootnoteText"/>
        <w:rPr>
          <w:rFonts w:cstheme="minorHAnsi"/>
        </w:rPr>
      </w:pPr>
      <w:r w:rsidRPr="0003060E">
        <w:rPr>
          <w:rStyle w:val="FootnoteReference"/>
          <w:rFonts w:cstheme="minorHAnsi"/>
        </w:rPr>
        <w:footnoteRef/>
      </w:r>
      <w:r w:rsidRPr="0003060E">
        <w:rPr>
          <w:rFonts w:cstheme="minorHAnsi"/>
        </w:rPr>
        <w:t xml:space="preserve"> </w:t>
      </w:r>
      <w:r w:rsidR="005C1D56" w:rsidRPr="0003060E">
        <w:rPr>
          <w:rFonts w:cstheme="minorHAnsi"/>
        </w:rPr>
        <w:t xml:space="preserve">Queen Mary University of London, </w:t>
      </w:r>
      <w:r w:rsidR="000A0B0A" w:rsidRPr="0003060E">
        <w:rPr>
          <w:rFonts w:cstheme="minorHAnsi"/>
        </w:rPr>
        <w:t>‘</w:t>
      </w:r>
      <w:r w:rsidR="005C1D56" w:rsidRPr="0003060E">
        <w:rPr>
          <w:rFonts w:cstheme="minorHAnsi"/>
        </w:rPr>
        <w:t>2019 International Arbitration Survey: International Construction Disputes</w:t>
      </w:r>
      <w:r w:rsidR="000A0B0A" w:rsidRPr="0003060E">
        <w:rPr>
          <w:rFonts w:cstheme="minorHAnsi"/>
        </w:rPr>
        <w:t>’</w:t>
      </w:r>
      <w:r w:rsidR="00726473" w:rsidRPr="0003060E">
        <w:rPr>
          <w:rFonts w:cstheme="minorHAnsi"/>
        </w:rPr>
        <w:t xml:space="preserve">, </w:t>
      </w:r>
      <w:r w:rsidR="00726473" w:rsidRPr="0003060E">
        <w:rPr>
          <w:rFonts w:cstheme="minorHAnsi"/>
          <w:i/>
          <w:iCs/>
        </w:rPr>
        <w:t>Queen Mary University of London School of International Arbitration</w:t>
      </w:r>
      <w:r w:rsidR="00726473" w:rsidRPr="0003060E">
        <w:rPr>
          <w:rFonts w:cstheme="minorHAnsi"/>
        </w:rPr>
        <w:t xml:space="preserve"> </w:t>
      </w:r>
      <w:r w:rsidR="005C1D56" w:rsidRPr="0003060E">
        <w:rPr>
          <w:rFonts w:cstheme="minorHAnsi"/>
        </w:rPr>
        <w:t>(</w:t>
      </w:r>
      <w:r w:rsidR="000A0B0A" w:rsidRPr="0003060E">
        <w:rPr>
          <w:rFonts w:cstheme="minorHAnsi"/>
        </w:rPr>
        <w:t>Web Page</w:t>
      </w:r>
      <w:r w:rsidR="005C1D56" w:rsidRPr="0003060E">
        <w:rPr>
          <w:rFonts w:cstheme="minorHAnsi"/>
        </w:rPr>
        <w:t>)</w:t>
      </w:r>
      <w:r w:rsidR="00726473" w:rsidRPr="0003060E">
        <w:rPr>
          <w:rFonts w:cstheme="minorHAnsi"/>
        </w:rPr>
        <w:t xml:space="preserve"> 24 &lt;</w:t>
      </w:r>
      <w:hyperlink r:id="rId33" w:history="1">
        <w:r w:rsidR="00726473" w:rsidRPr="0003060E">
          <w:rPr>
            <w:rStyle w:val="Hyperlink"/>
            <w:rFonts w:cstheme="minorHAnsi"/>
          </w:rPr>
          <w:t>http://www.arbitration.qmul.ac.uk/research/2019/</w:t>
        </w:r>
      </w:hyperlink>
      <w:r w:rsidR="00726473" w:rsidRPr="0003060E">
        <w:rPr>
          <w:rFonts w:cstheme="minorHAnsi"/>
        </w:rPr>
        <w:t>&gt;</w:t>
      </w:r>
      <w:r w:rsidR="005C1D56" w:rsidRPr="0003060E">
        <w:rPr>
          <w:rFonts w:cstheme="minorHAnsi"/>
        </w:rPr>
        <w:t>.</w:t>
      </w:r>
    </w:p>
  </w:footnote>
  <w:footnote w:id="80">
    <w:p w14:paraId="1206A0A5" w14:textId="7F6F7679" w:rsidR="005F3295" w:rsidRPr="0003060E" w:rsidRDefault="005F3295">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7E23EB" w:rsidRPr="0003060E">
        <w:rPr>
          <w:rFonts w:cstheme="minorHAnsi"/>
        </w:rPr>
        <w:t xml:space="preserve">Alan Redfern, </w:t>
      </w:r>
      <w:proofErr w:type="gramStart"/>
      <w:r w:rsidR="00460783" w:rsidRPr="0003060E">
        <w:rPr>
          <w:rFonts w:cstheme="minorHAnsi"/>
          <w:i/>
          <w:iCs/>
        </w:rPr>
        <w:t>Law</w:t>
      </w:r>
      <w:proofErr w:type="gramEnd"/>
      <w:r w:rsidR="00460783" w:rsidRPr="0003060E">
        <w:rPr>
          <w:rFonts w:cstheme="minorHAnsi"/>
          <w:i/>
          <w:iCs/>
        </w:rPr>
        <w:t xml:space="preserve"> and Practice of International Commercial Arbitration</w:t>
      </w:r>
      <w:r w:rsidR="0088602D" w:rsidRPr="0003060E">
        <w:rPr>
          <w:rFonts w:cstheme="minorHAnsi"/>
        </w:rPr>
        <w:t xml:space="preserve"> (Sweet &amp; Maxwell, 2004).</w:t>
      </w:r>
    </w:p>
  </w:footnote>
  <w:footnote w:id="81">
    <w:p w14:paraId="702F91B8" w14:textId="0206ADD1" w:rsidR="005F3295" w:rsidRPr="0003060E" w:rsidRDefault="005F3295">
      <w:pPr>
        <w:pStyle w:val="FootnoteText"/>
        <w:rPr>
          <w:rFonts w:cstheme="minorHAnsi"/>
          <w:lang w:val="en-US"/>
        </w:rPr>
      </w:pPr>
      <w:r w:rsidRPr="0003060E">
        <w:rPr>
          <w:rStyle w:val="FootnoteReference"/>
          <w:rFonts w:cstheme="minorHAnsi"/>
        </w:rPr>
        <w:footnoteRef/>
      </w:r>
      <w:r w:rsidRPr="0003060E">
        <w:rPr>
          <w:rFonts w:cstheme="minorHAnsi"/>
        </w:rPr>
        <w:t xml:space="preserve"> See generally </w:t>
      </w:r>
      <w:r w:rsidR="00AE2DED" w:rsidRPr="0003060E">
        <w:rPr>
          <w:rFonts w:cstheme="minorHAnsi"/>
          <w:lang w:val="en-US"/>
        </w:rPr>
        <w:t xml:space="preserve">Hilary Astor, </w:t>
      </w:r>
      <w:r w:rsidR="00AE2DED" w:rsidRPr="0003060E">
        <w:rPr>
          <w:rFonts w:cstheme="minorHAnsi"/>
          <w:i/>
          <w:iCs/>
          <w:lang w:val="en-US"/>
        </w:rPr>
        <w:t>Dispute Resolution in Australia</w:t>
      </w:r>
      <w:r w:rsidR="00AE2DED" w:rsidRPr="0003060E">
        <w:rPr>
          <w:rFonts w:cstheme="minorHAnsi"/>
          <w:lang w:val="en-US"/>
        </w:rPr>
        <w:t xml:space="preserve"> </w:t>
      </w:r>
      <w:r w:rsidR="00E455F5" w:rsidRPr="0003060E">
        <w:rPr>
          <w:rFonts w:cstheme="minorHAnsi"/>
          <w:lang w:val="en-US"/>
        </w:rPr>
        <w:t>(Lexis Nexis, 2</w:t>
      </w:r>
      <w:r w:rsidR="00E455F5" w:rsidRPr="0003060E">
        <w:rPr>
          <w:rFonts w:cstheme="minorHAnsi"/>
          <w:vertAlign w:val="superscript"/>
          <w:lang w:val="en-US"/>
        </w:rPr>
        <w:t>nd</w:t>
      </w:r>
      <w:r w:rsidR="00E455F5" w:rsidRPr="0003060E">
        <w:rPr>
          <w:rFonts w:cstheme="minorHAnsi"/>
          <w:lang w:val="en-US"/>
        </w:rPr>
        <w:t xml:space="preserve"> ed, 2002)</w:t>
      </w:r>
      <w:r w:rsidR="006D68D6" w:rsidRPr="0003060E">
        <w:rPr>
          <w:rFonts w:cstheme="minorHAnsi"/>
          <w:lang w:val="en-US"/>
        </w:rPr>
        <w:t>.</w:t>
      </w:r>
      <w:r w:rsidR="006135E3" w:rsidRPr="0003060E">
        <w:rPr>
          <w:rFonts w:cstheme="minorHAnsi"/>
          <w:lang w:val="en-US"/>
        </w:rPr>
        <w:t xml:space="preserve"> Arguably there is still quite a disjuncture between Australian legal professionals providing services in domestic mediation compared to arbitration and litigation.</w:t>
      </w:r>
    </w:p>
  </w:footnote>
  <w:footnote w:id="82">
    <w:p w14:paraId="3F4356AB" w14:textId="42961793" w:rsidR="00A474CA" w:rsidRPr="0003060E" w:rsidRDefault="00A474CA">
      <w:pPr>
        <w:pStyle w:val="FootnoteText"/>
        <w:contextualSpacing/>
        <w:rPr>
          <w:rFonts w:cstheme="minorHAnsi"/>
          <w:lang w:val="en-GB"/>
        </w:rPr>
      </w:pPr>
      <w:r w:rsidRPr="0003060E">
        <w:rPr>
          <w:rStyle w:val="FootnoteReference"/>
          <w:rFonts w:cstheme="minorHAnsi"/>
        </w:rPr>
        <w:footnoteRef/>
      </w:r>
      <w:r w:rsidRPr="0003060E">
        <w:rPr>
          <w:rFonts w:cstheme="minorHAnsi"/>
        </w:rPr>
        <w:t xml:space="preserve"> </w:t>
      </w:r>
      <w:r w:rsidR="0002795E" w:rsidRPr="0003060E">
        <w:rPr>
          <w:rFonts w:cstheme="minorHAnsi"/>
          <w:i/>
          <w:lang w:val="en-GB"/>
        </w:rPr>
        <w:t xml:space="preserve">Gao Haiyan and Xie </w:t>
      </w:r>
      <w:proofErr w:type="spellStart"/>
      <w:r w:rsidR="0002795E" w:rsidRPr="0003060E">
        <w:rPr>
          <w:rFonts w:cstheme="minorHAnsi"/>
          <w:i/>
          <w:lang w:val="en-GB"/>
        </w:rPr>
        <w:t>Heping</w:t>
      </w:r>
      <w:proofErr w:type="spellEnd"/>
      <w:r w:rsidR="0002795E" w:rsidRPr="0003060E">
        <w:rPr>
          <w:rFonts w:cstheme="minorHAnsi"/>
          <w:i/>
          <w:lang w:val="en-GB"/>
        </w:rPr>
        <w:t xml:space="preserve"> </w:t>
      </w:r>
      <w:r w:rsidR="00AB1AF0" w:rsidRPr="0003060E">
        <w:rPr>
          <w:rFonts w:cstheme="minorHAnsi"/>
          <w:i/>
          <w:lang w:val="en-GB"/>
        </w:rPr>
        <w:t>v</w:t>
      </w:r>
      <w:r w:rsidR="0002795E" w:rsidRPr="0003060E">
        <w:rPr>
          <w:rFonts w:cstheme="minorHAnsi"/>
          <w:i/>
          <w:lang w:val="en-GB"/>
        </w:rPr>
        <w:t xml:space="preserve"> </w:t>
      </w:r>
      <w:proofErr w:type="spellStart"/>
      <w:r w:rsidR="0002795E" w:rsidRPr="0003060E">
        <w:rPr>
          <w:rFonts w:cstheme="minorHAnsi"/>
          <w:i/>
          <w:lang w:val="en-GB"/>
        </w:rPr>
        <w:t>Keeneye</w:t>
      </w:r>
      <w:proofErr w:type="spellEnd"/>
      <w:r w:rsidR="0002795E" w:rsidRPr="0003060E">
        <w:rPr>
          <w:rFonts w:cstheme="minorHAnsi"/>
          <w:i/>
          <w:lang w:val="en-GB"/>
        </w:rPr>
        <w:t xml:space="preserve"> Holdings Ltd and New Purple Golden Resources Development Lt</w:t>
      </w:r>
      <w:r w:rsidR="008065CA" w:rsidRPr="0003060E">
        <w:rPr>
          <w:rFonts w:cstheme="minorHAnsi"/>
          <w:i/>
          <w:lang w:val="en-GB"/>
        </w:rPr>
        <w:t xml:space="preserve">d </w:t>
      </w:r>
      <w:r w:rsidR="008065CA" w:rsidRPr="0003060E">
        <w:rPr>
          <w:rFonts w:cstheme="minorHAnsi"/>
          <w:iCs/>
          <w:lang w:val="en-GB"/>
        </w:rPr>
        <w:t>[2012] 1 HKC 335</w:t>
      </w:r>
      <w:r w:rsidR="00290682" w:rsidRPr="0003060E">
        <w:rPr>
          <w:rFonts w:cstheme="minorHAnsi"/>
          <w:iCs/>
          <w:lang w:val="en-GB"/>
        </w:rPr>
        <w:t xml:space="preserve">, noted </w:t>
      </w:r>
      <w:proofErr w:type="spellStart"/>
      <w:proofErr w:type="gramStart"/>
      <w:r w:rsidR="00290682" w:rsidRPr="0003060E">
        <w:rPr>
          <w:rFonts w:cstheme="minorHAnsi"/>
          <w:iCs/>
          <w:lang w:val="en-GB"/>
        </w:rPr>
        <w:t>eg</w:t>
      </w:r>
      <w:proofErr w:type="spellEnd"/>
      <w:proofErr w:type="gramEnd"/>
      <w:r w:rsidR="00290682" w:rsidRPr="0003060E">
        <w:rPr>
          <w:rFonts w:cstheme="minorHAnsi"/>
          <w:iCs/>
          <w:lang w:val="en-GB"/>
        </w:rPr>
        <w:t xml:space="preserve"> by</w:t>
      </w:r>
      <w:r w:rsidR="008065CA" w:rsidRPr="0003060E">
        <w:rPr>
          <w:rFonts w:cstheme="minorHAnsi"/>
          <w:iCs/>
          <w:lang w:val="en-GB"/>
        </w:rPr>
        <w:t xml:space="preserve"> </w:t>
      </w:r>
      <w:r w:rsidR="00290682" w:rsidRPr="0003060E">
        <w:rPr>
          <w:rFonts w:cstheme="minorHAnsi"/>
          <w:iCs/>
          <w:lang w:val="en-GB"/>
        </w:rPr>
        <w:t xml:space="preserve">Josh Wilson and William Lye, ‘Arb-Med in Hong Kong: Corrected Position or Enduring Suspicion’ (December 2013) </w:t>
      </w:r>
      <w:r w:rsidR="00290682" w:rsidRPr="0003060E">
        <w:rPr>
          <w:rFonts w:cstheme="minorHAnsi"/>
          <w:i/>
          <w:lang w:val="en-GB"/>
        </w:rPr>
        <w:t>The Arbitrator and Mediator</w:t>
      </w:r>
      <w:r w:rsidR="00290682" w:rsidRPr="0003060E">
        <w:rPr>
          <w:rFonts w:cstheme="minorHAnsi"/>
          <w:iCs/>
          <w:lang w:val="en-GB"/>
        </w:rPr>
        <w:t xml:space="preserve"> 47.</w:t>
      </w:r>
    </w:p>
  </w:footnote>
  <w:footnote w:id="83">
    <w:p w14:paraId="13E6DFB2" w14:textId="7B8BE71D" w:rsidR="00233651" w:rsidRPr="0003060E" w:rsidRDefault="00233651">
      <w:pPr>
        <w:pStyle w:val="FootnoteText"/>
        <w:rPr>
          <w:rFonts w:cstheme="minorHAnsi"/>
        </w:rPr>
      </w:pPr>
      <w:r w:rsidRPr="0003060E">
        <w:rPr>
          <w:rStyle w:val="FootnoteReference"/>
          <w:rFonts w:cstheme="minorHAnsi"/>
        </w:rPr>
        <w:footnoteRef/>
      </w:r>
      <w:r w:rsidRPr="0003060E">
        <w:rPr>
          <w:rFonts w:cstheme="minorHAnsi"/>
        </w:rPr>
        <w:t xml:space="preserve"> </w:t>
      </w:r>
      <w:r w:rsidR="006334FB" w:rsidRPr="0003060E">
        <w:rPr>
          <w:rFonts w:cstheme="minorHAnsi"/>
        </w:rPr>
        <w:t>Cheryl Ng, ‘</w:t>
      </w:r>
      <w:r w:rsidR="00736F33" w:rsidRPr="0003060E">
        <w:rPr>
          <w:rFonts w:cstheme="minorHAnsi"/>
        </w:rPr>
        <w:t xml:space="preserve">The Arb-Med-Arb Protocol: </w:t>
      </w:r>
      <w:r w:rsidR="006334FB" w:rsidRPr="0003060E">
        <w:rPr>
          <w:rFonts w:cstheme="minorHAnsi"/>
        </w:rPr>
        <w:t>Promising in Concept, Problematic in Design’</w:t>
      </w:r>
      <w:r w:rsidR="00736F33" w:rsidRPr="0003060E">
        <w:rPr>
          <w:rFonts w:cstheme="minorHAnsi"/>
        </w:rPr>
        <w:t xml:space="preserve"> (2020) 32 </w:t>
      </w:r>
      <w:r w:rsidR="00225031" w:rsidRPr="0003060E">
        <w:rPr>
          <w:rFonts w:cstheme="minorHAnsi"/>
          <w:i/>
          <w:iCs/>
        </w:rPr>
        <w:t>Singapore Academy of Law Journal</w:t>
      </w:r>
      <w:r w:rsidR="00736F33" w:rsidRPr="0003060E">
        <w:rPr>
          <w:rFonts w:cstheme="minorHAnsi"/>
          <w:i/>
          <w:iCs/>
        </w:rPr>
        <w:t xml:space="preserve"> </w:t>
      </w:r>
      <w:r w:rsidR="00736F33" w:rsidRPr="0003060E">
        <w:rPr>
          <w:rFonts w:cstheme="minorHAnsi"/>
        </w:rPr>
        <w:t xml:space="preserve">124. </w:t>
      </w:r>
    </w:p>
  </w:footnote>
  <w:footnote w:id="84">
    <w:p w14:paraId="384C840F" w14:textId="2FDCE8E9" w:rsidR="003B0DF7" w:rsidRPr="0003060E" w:rsidRDefault="00CA77CE">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Man Yip</w:t>
      </w:r>
      <w:r w:rsidR="0043080F" w:rsidRPr="0003060E">
        <w:rPr>
          <w:rFonts w:cstheme="minorHAnsi"/>
          <w:lang w:val="en-US"/>
        </w:rPr>
        <w:t xml:space="preserve">, ‘Combinations of Mediation and Arbitration’ </w:t>
      </w:r>
      <w:r w:rsidR="007B6C52" w:rsidRPr="0003060E">
        <w:rPr>
          <w:rFonts w:cstheme="minorHAnsi"/>
          <w:lang w:val="en-US"/>
        </w:rPr>
        <w:t xml:space="preserve">in </w:t>
      </w:r>
      <w:r w:rsidR="00EB2FBB" w:rsidRPr="0003060E">
        <w:rPr>
          <w:rFonts w:cstheme="minorHAnsi"/>
          <w:lang w:val="en-US"/>
        </w:rPr>
        <w:t xml:space="preserve">Anselmo </w:t>
      </w:r>
      <w:r w:rsidR="007B6C52" w:rsidRPr="0003060E">
        <w:rPr>
          <w:rFonts w:cstheme="minorHAnsi"/>
          <w:lang w:val="en-US"/>
        </w:rPr>
        <w:t>Reyes</w:t>
      </w:r>
      <w:r w:rsidR="00EB2FBB" w:rsidRPr="0003060E">
        <w:rPr>
          <w:rFonts w:cstheme="minorHAnsi"/>
          <w:lang w:val="en-US"/>
        </w:rPr>
        <w:t xml:space="preserve"> and Weixia </w:t>
      </w:r>
      <w:r w:rsidR="007B6C52" w:rsidRPr="0003060E">
        <w:rPr>
          <w:rFonts w:cstheme="minorHAnsi"/>
          <w:lang w:val="en-US"/>
        </w:rPr>
        <w:t>Gu</w:t>
      </w:r>
      <w:r w:rsidR="00EB2FBB" w:rsidRPr="0003060E">
        <w:rPr>
          <w:rFonts w:cstheme="minorHAnsi"/>
          <w:lang w:val="en-US"/>
        </w:rPr>
        <w:t xml:space="preserve"> (</w:t>
      </w:r>
      <w:r w:rsidR="007B6C52" w:rsidRPr="0003060E">
        <w:rPr>
          <w:rFonts w:cstheme="minorHAnsi"/>
          <w:lang w:val="en-US"/>
        </w:rPr>
        <w:t>eds</w:t>
      </w:r>
      <w:r w:rsidR="00EB2FBB" w:rsidRPr="0003060E">
        <w:rPr>
          <w:rFonts w:cstheme="minorHAnsi"/>
          <w:lang w:val="en-US"/>
        </w:rPr>
        <w:t>)</w:t>
      </w:r>
      <w:r w:rsidR="003F40A2" w:rsidRPr="0003060E">
        <w:rPr>
          <w:rFonts w:cstheme="minorHAnsi"/>
          <w:lang w:val="en-US"/>
        </w:rPr>
        <w:t xml:space="preserve">, </w:t>
      </w:r>
      <w:r w:rsidR="003F40A2" w:rsidRPr="0003060E">
        <w:rPr>
          <w:rFonts w:cstheme="minorHAnsi"/>
          <w:i/>
          <w:iCs/>
          <w:lang w:val="en-US"/>
        </w:rPr>
        <w:t>Multi-Tier Approaches to the Resolution of International Disputes</w:t>
      </w:r>
      <w:r w:rsidR="003F40A2" w:rsidRPr="0003060E">
        <w:rPr>
          <w:rFonts w:cstheme="minorHAnsi"/>
          <w:lang w:val="en-US"/>
        </w:rPr>
        <w:t xml:space="preserve"> (</w:t>
      </w:r>
      <w:r w:rsidR="0043080F" w:rsidRPr="0003060E">
        <w:rPr>
          <w:rFonts w:cstheme="minorHAnsi"/>
          <w:lang w:val="en-US"/>
        </w:rPr>
        <w:t>Cambridge University Press, 202</w:t>
      </w:r>
      <w:r w:rsidR="00290682" w:rsidRPr="0003060E">
        <w:rPr>
          <w:rFonts w:cstheme="minorHAnsi"/>
          <w:lang w:val="en-US"/>
        </w:rPr>
        <w:t>2</w:t>
      </w:r>
      <w:r w:rsidR="0043080F" w:rsidRPr="0003060E">
        <w:rPr>
          <w:rFonts w:cstheme="minorHAnsi"/>
          <w:lang w:val="en-US"/>
        </w:rPr>
        <w:t>)</w:t>
      </w:r>
      <w:r w:rsidR="003F40A2" w:rsidRPr="0003060E">
        <w:rPr>
          <w:rFonts w:cstheme="minorHAnsi"/>
          <w:lang w:val="en-US"/>
        </w:rPr>
        <w:t xml:space="preserve"> </w:t>
      </w:r>
      <w:r w:rsidR="00290682" w:rsidRPr="0003060E">
        <w:rPr>
          <w:rFonts w:cstheme="minorHAnsi"/>
          <w:lang w:val="en-US"/>
        </w:rPr>
        <w:t>182, 201</w:t>
      </w:r>
      <w:r w:rsidRPr="0003060E">
        <w:rPr>
          <w:rFonts w:cstheme="minorHAnsi"/>
          <w:lang w:val="en-US"/>
        </w:rPr>
        <w:t>.</w:t>
      </w:r>
      <w:r w:rsidR="00AB1AF0" w:rsidRPr="0003060E">
        <w:rPr>
          <w:rFonts w:cstheme="minorHAnsi"/>
          <w:lang w:val="en-US"/>
        </w:rPr>
        <w:t xml:space="preserve"> </w:t>
      </w:r>
      <w:r w:rsidR="003B0DF7" w:rsidRPr="0003060E">
        <w:rPr>
          <w:rFonts w:cstheme="minorHAnsi"/>
          <w:lang w:val="en-US"/>
        </w:rPr>
        <w:t>The Singapore arbitration community has been informed that by the end of 2022, SIMC had completed 29 Arb-Med-Arb cases (and 248 other mediations).</w:t>
      </w:r>
    </w:p>
  </w:footnote>
  <w:footnote w:id="85">
    <w:p w14:paraId="343C8EA7" w14:textId="7868F2E0" w:rsidR="00707DB5" w:rsidRPr="0003060E" w:rsidRDefault="003B0DF7">
      <w:pPr>
        <w:pStyle w:val="FootnoteText"/>
        <w:rPr>
          <w:rFonts w:cstheme="minorHAnsi"/>
        </w:rPr>
      </w:pPr>
      <w:r w:rsidRPr="0003060E">
        <w:rPr>
          <w:rStyle w:val="FootnoteReference"/>
          <w:rFonts w:cstheme="minorHAnsi"/>
        </w:rPr>
        <w:footnoteRef/>
      </w:r>
      <w:r w:rsidRPr="0003060E">
        <w:rPr>
          <w:rFonts w:cstheme="minorHAnsi"/>
        </w:rPr>
        <w:t xml:space="preserve"> The acknowledged background to this initiative is that it will take </w:t>
      </w:r>
      <w:r w:rsidR="00707DB5" w:rsidRPr="0003060E">
        <w:rPr>
          <w:rFonts w:cstheme="minorHAnsi"/>
        </w:rPr>
        <w:t xml:space="preserve">time for states to ratify and implement the 2019 Singapore Convention, in support of mediation. </w:t>
      </w:r>
      <w:r w:rsidRPr="0003060E">
        <w:rPr>
          <w:rFonts w:cstheme="minorHAnsi"/>
        </w:rPr>
        <w:t>Speech by Second Minister for Law Edwin Tong SC at Appropriate Dispute Resolution: The Singapore Way (12 January 2023) &lt;https://www.mlaw.gov.sg/news/speeches/2023-01-12-speech-2m-edwin-tong-appropriate-dispute-resolution-singapore-way/&gt; [8]-[10].</w:t>
      </w:r>
      <w:r w:rsidR="00707DB5" w:rsidRPr="0003060E">
        <w:rPr>
          <w:rFonts w:cstheme="minorHAnsi"/>
        </w:rPr>
        <w:t xml:space="preserve"> The SICC also signed in April 2023 an MOU with the CICC for each respectively to encourage parties to agree to a Litigation-Mediation-Litigation model: see &lt;</w:t>
      </w:r>
      <w:hyperlink r:id="rId34" w:history="1">
        <w:r w:rsidR="00707DB5" w:rsidRPr="0003060E">
          <w:rPr>
            <w:rStyle w:val="Hyperlink"/>
            <w:rFonts w:cstheme="minorHAnsi"/>
            <w:lang w:val="en-US"/>
          </w:rPr>
          <w:t>https://cicc.court.gov.cn/html/1/219/208/209/2370.html</w:t>
        </w:r>
      </w:hyperlink>
      <w:r w:rsidR="00707DB5" w:rsidRPr="0003060E">
        <w:rPr>
          <w:rFonts w:cstheme="minorHAnsi"/>
          <w:lang w:val="en-US"/>
        </w:rPr>
        <w:t>&gt; and &lt;</w:t>
      </w:r>
      <w:hyperlink r:id="rId35" w:history="1">
        <w:r w:rsidR="00707DB5" w:rsidRPr="0003060E">
          <w:rPr>
            <w:rStyle w:val="Hyperlink"/>
            <w:rFonts w:cstheme="minorHAnsi"/>
            <w:lang w:val="en-US"/>
          </w:rPr>
          <w:t>https://www.sicc.gov.sg/docs/default-source/memorandum-of-guidance/lml-mou-factsheet-and-details.pdf</w:t>
        </w:r>
      </w:hyperlink>
      <w:r w:rsidR="00707DB5" w:rsidRPr="0003060E">
        <w:rPr>
          <w:rFonts w:cstheme="minorHAnsi"/>
        </w:rPr>
        <w:t>&gt;.</w:t>
      </w:r>
    </w:p>
  </w:footnote>
  <w:footnote w:id="86">
    <w:p w14:paraId="02BBF16C" w14:textId="41DDA2AC" w:rsidR="005A19DB" w:rsidRPr="0003060E" w:rsidRDefault="005A19DB">
      <w:pPr>
        <w:pStyle w:val="FootnoteText"/>
        <w:rPr>
          <w:rFonts w:cstheme="minorHAnsi"/>
        </w:rPr>
      </w:pPr>
      <w:r w:rsidRPr="0003060E">
        <w:rPr>
          <w:rStyle w:val="FootnoteReference"/>
          <w:rFonts w:cstheme="minorHAnsi"/>
        </w:rPr>
        <w:footnoteRef/>
      </w:r>
      <w:r w:rsidRPr="0003060E">
        <w:rPr>
          <w:rFonts w:cstheme="minorHAnsi"/>
        </w:rPr>
        <w:t xml:space="preserve"> </w:t>
      </w:r>
      <w:r w:rsidRPr="0003060E">
        <w:rPr>
          <w:rFonts w:cstheme="minorHAnsi"/>
          <w:lang w:val="en-US"/>
        </w:rPr>
        <w:t xml:space="preserve">See notably </w:t>
      </w:r>
      <w:r w:rsidRPr="0003060E">
        <w:rPr>
          <w:rFonts w:eastAsia="Times New Roman" w:cstheme="minorHAnsi"/>
          <w:i/>
          <w:iCs/>
          <w:kern w:val="36"/>
        </w:rPr>
        <w:t>Ku-ring-gai Council v Ichor Constructions Pty Ltd</w:t>
      </w:r>
      <w:r w:rsidRPr="0003060E">
        <w:rPr>
          <w:rFonts w:eastAsia="Times New Roman" w:cstheme="minorHAnsi"/>
          <w:kern w:val="36"/>
        </w:rPr>
        <w:t xml:space="preserve"> [2019] NSWCA 2.</w:t>
      </w:r>
    </w:p>
  </w:footnote>
  <w:footnote w:id="87">
    <w:p w14:paraId="44D79A50" w14:textId="3B532450" w:rsidR="00486EC4" w:rsidRPr="0003060E" w:rsidRDefault="00CA77CE">
      <w:pPr>
        <w:pStyle w:val="FootnoteText"/>
        <w:rPr>
          <w:rFonts w:cstheme="minorHAnsi"/>
        </w:rPr>
      </w:pPr>
      <w:r w:rsidRPr="0003060E">
        <w:rPr>
          <w:rStyle w:val="FootnoteReference"/>
          <w:rFonts w:cstheme="minorHAnsi"/>
        </w:rPr>
        <w:footnoteRef/>
      </w:r>
      <w:r w:rsidR="00EE235A" w:rsidRPr="0003060E">
        <w:rPr>
          <w:rFonts w:cstheme="minorHAnsi"/>
        </w:rPr>
        <w:t xml:space="preserve"> </w:t>
      </w:r>
      <w:r w:rsidR="00486EC4" w:rsidRPr="0003060E">
        <w:rPr>
          <w:rFonts w:cstheme="minorHAnsi"/>
        </w:rPr>
        <w:t xml:space="preserve">See Alan </w:t>
      </w:r>
      <w:proofErr w:type="spellStart"/>
      <w:r w:rsidR="00486EC4" w:rsidRPr="0003060E">
        <w:rPr>
          <w:rFonts w:cstheme="minorHAnsi"/>
        </w:rPr>
        <w:t>Limbury</w:t>
      </w:r>
      <w:proofErr w:type="spellEnd"/>
      <w:r w:rsidR="00486EC4" w:rsidRPr="0003060E">
        <w:rPr>
          <w:rFonts w:cstheme="minorHAnsi"/>
        </w:rPr>
        <w:t xml:space="preserve">, 'Mediation under the NSW Commercial Arbitration Act 2010 s.27D' (2011) 77(1) </w:t>
      </w:r>
      <w:r w:rsidR="00486EC4" w:rsidRPr="0003060E">
        <w:rPr>
          <w:rFonts w:cstheme="minorHAnsi"/>
          <w:i/>
          <w:iCs/>
        </w:rPr>
        <w:t>Arbitration: The International Journal of Arbitration, Mediation and Dispute Management</w:t>
      </w:r>
      <w:r w:rsidR="00486EC4" w:rsidRPr="0003060E">
        <w:rPr>
          <w:rFonts w:cstheme="minorHAnsi"/>
        </w:rPr>
        <w:t xml:space="preserve"> 105</w:t>
      </w:r>
      <w:r w:rsidR="00620E9B" w:rsidRPr="0003060E">
        <w:rPr>
          <w:rFonts w:cstheme="minorHAnsi"/>
        </w:rPr>
        <w:t>; Nick Longley and Chris Cho</w:t>
      </w:r>
      <w:r w:rsidR="00197A7E" w:rsidRPr="0003060E">
        <w:rPr>
          <w:rFonts w:cstheme="minorHAnsi"/>
        </w:rPr>
        <w:t xml:space="preserve">, ‘Arbitration Insights: Australia Med-Arb’, </w:t>
      </w:r>
      <w:r w:rsidR="00197A7E" w:rsidRPr="0003060E">
        <w:rPr>
          <w:rFonts w:cstheme="minorHAnsi"/>
          <w:i/>
          <w:iCs/>
        </w:rPr>
        <w:t>HFW</w:t>
      </w:r>
      <w:r w:rsidR="00197A7E" w:rsidRPr="0003060E">
        <w:rPr>
          <w:rFonts w:cstheme="minorHAnsi"/>
        </w:rPr>
        <w:t xml:space="preserve"> (Blog Post, 6 August 2021)</w:t>
      </w:r>
      <w:r w:rsidR="009F2B3D" w:rsidRPr="0003060E">
        <w:rPr>
          <w:rFonts w:cstheme="minorHAnsi"/>
        </w:rPr>
        <w:t xml:space="preserve"> </w:t>
      </w:r>
      <w:r w:rsidR="00197A7E" w:rsidRPr="0003060E">
        <w:rPr>
          <w:rFonts w:cstheme="minorHAnsi"/>
        </w:rPr>
        <w:t>&lt;</w:t>
      </w:r>
      <w:hyperlink r:id="rId36" w:history="1">
        <w:r w:rsidR="00197A7E" w:rsidRPr="0003060E">
          <w:rPr>
            <w:rStyle w:val="Hyperlink"/>
            <w:rFonts w:cstheme="minorHAnsi"/>
          </w:rPr>
          <w:t>https://www.hfw.com/downloads/003245-HFW-Arbitration-Insights-Australia-4-Med-Arb.pdf</w:t>
        </w:r>
      </w:hyperlink>
      <w:r w:rsidR="00197A7E" w:rsidRPr="0003060E">
        <w:rPr>
          <w:rFonts w:cstheme="minorHAnsi"/>
        </w:rPr>
        <w:t>&gt;.</w:t>
      </w:r>
    </w:p>
  </w:footnote>
  <w:footnote w:id="88">
    <w:p w14:paraId="60A26D82" w14:textId="7E441E3A" w:rsidR="00EA79C0" w:rsidRPr="0003060E" w:rsidRDefault="00EA79C0">
      <w:pPr>
        <w:pStyle w:val="FootnoteText"/>
        <w:rPr>
          <w:rFonts w:cstheme="minorHAnsi"/>
        </w:rPr>
      </w:pPr>
      <w:r w:rsidRPr="0003060E">
        <w:rPr>
          <w:rStyle w:val="FootnoteReference"/>
          <w:rFonts w:cstheme="minorHAnsi"/>
        </w:rPr>
        <w:footnoteRef/>
      </w:r>
      <w:r w:rsidRPr="0003060E">
        <w:rPr>
          <w:rFonts w:cstheme="minorHAnsi"/>
        </w:rPr>
        <w:t xml:space="preserve"> Nottage, </w:t>
      </w:r>
      <w:proofErr w:type="spellStart"/>
      <w:r w:rsidRPr="0003060E">
        <w:rPr>
          <w:rFonts w:cstheme="minorHAnsi"/>
        </w:rPr>
        <w:t>Droesti</w:t>
      </w:r>
      <w:proofErr w:type="spellEnd"/>
      <w:r w:rsidRPr="0003060E">
        <w:rPr>
          <w:rFonts w:cstheme="minorHAnsi"/>
        </w:rPr>
        <w:t xml:space="preserve"> and Tang (n35). The Prague Rules (n 72) Art 9.3(a) also provide for a second consent for the authorised arbitrator/mediator to continue with the arbitration if the mediation attempts fail.</w:t>
      </w:r>
      <w:r w:rsidR="00BB08B3" w:rsidRPr="0003060E">
        <w:rPr>
          <w:rFonts w:cstheme="minorHAnsi"/>
        </w:rPr>
        <w:t xml:space="preserve"> By contrast, the 2023 Asian International Arbitration Centre Rules simply provides that the arbitrator may facilitate settlements if parties agree, and they then waive rights to challenge arbitrator impartiality based on ‘participation and knowledge acquired’ in facilitation (Art 14).</w:t>
      </w:r>
    </w:p>
  </w:footnote>
  <w:footnote w:id="89">
    <w:p w14:paraId="32192D4B" w14:textId="60D2B23A" w:rsidR="00A474CA" w:rsidRPr="0003060E" w:rsidRDefault="00A474CA">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Kun Fan and Kaufmann-Kohler</w:t>
      </w:r>
      <w:r w:rsidR="00F63460" w:rsidRPr="0003060E">
        <w:rPr>
          <w:rFonts w:cstheme="minorHAnsi"/>
          <w:lang w:val="en-US"/>
        </w:rPr>
        <w:t>, ‘Integrating Mediation into Arbitration: Why It Works in China’</w:t>
      </w:r>
      <w:r w:rsidR="00176458" w:rsidRPr="0003060E">
        <w:rPr>
          <w:rFonts w:cstheme="minorHAnsi"/>
          <w:lang w:val="en-US"/>
        </w:rPr>
        <w:t xml:space="preserve"> </w:t>
      </w:r>
      <w:r w:rsidR="00F63460" w:rsidRPr="0003060E">
        <w:rPr>
          <w:rFonts w:cstheme="minorHAnsi"/>
          <w:lang w:val="en-US"/>
        </w:rPr>
        <w:t>(2008)</w:t>
      </w:r>
      <w:r w:rsidR="001D560D" w:rsidRPr="0003060E">
        <w:rPr>
          <w:rFonts w:cstheme="minorHAnsi"/>
          <w:lang w:val="en-US"/>
        </w:rPr>
        <w:t xml:space="preserve"> 25(4) </w:t>
      </w:r>
      <w:r w:rsidR="001D560D" w:rsidRPr="0003060E">
        <w:rPr>
          <w:rFonts w:cstheme="minorHAnsi"/>
          <w:i/>
          <w:iCs/>
          <w:lang w:val="en-US"/>
        </w:rPr>
        <w:t>Journal of International Arbitration</w:t>
      </w:r>
      <w:r w:rsidR="004758BD" w:rsidRPr="0003060E">
        <w:rPr>
          <w:rFonts w:cstheme="minorHAnsi"/>
          <w:lang w:val="en-US"/>
        </w:rPr>
        <w:t xml:space="preserve"> 479.</w:t>
      </w:r>
      <w:r w:rsidR="001D560D" w:rsidRPr="0003060E">
        <w:rPr>
          <w:rFonts w:cstheme="minorHAnsi"/>
          <w:i/>
          <w:iCs/>
          <w:lang w:val="en-US"/>
        </w:rPr>
        <w:t xml:space="preserve"> </w:t>
      </w:r>
    </w:p>
  </w:footnote>
  <w:footnote w:id="90">
    <w:p w14:paraId="06DAD740" w14:textId="1E5B9C50" w:rsidR="00643C4E" w:rsidRPr="0003060E" w:rsidRDefault="00643C4E" w:rsidP="005C3CD4">
      <w:pPr>
        <w:pStyle w:val="FootnoteText"/>
        <w:rPr>
          <w:rFonts w:cstheme="minorHAnsi"/>
          <w:lang w:bidi="en-US"/>
        </w:rPr>
      </w:pPr>
      <w:r w:rsidRPr="0003060E">
        <w:rPr>
          <w:rStyle w:val="FootnoteReference"/>
          <w:rFonts w:cstheme="minorHAnsi"/>
        </w:rPr>
        <w:footnoteRef/>
      </w:r>
      <w:r w:rsidR="009B75A4" w:rsidRPr="0003060E">
        <w:rPr>
          <w:rFonts w:cstheme="minorHAnsi"/>
        </w:rPr>
        <w:t xml:space="preserve"> Nottage </w:t>
      </w:r>
      <w:r w:rsidR="00821827" w:rsidRPr="0003060E">
        <w:rPr>
          <w:rFonts w:cstheme="minorHAnsi"/>
        </w:rPr>
        <w:t>and Garnett (n 74</w:t>
      </w:r>
      <w:r w:rsidR="009B75A4" w:rsidRPr="0003060E">
        <w:rPr>
          <w:rFonts w:cstheme="minorHAnsi"/>
        </w:rPr>
        <w:t>)</w:t>
      </w:r>
      <w:r w:rsidR="00940535" w:rsidRPr="0003060E">
        <w:rPr>
          <w:rFonts w:cstheme="minorHAnsi"/>
        </w:rPr>
        <w:t>;</w:t>
      </w:r>
      <w:r w:rsidR="009862F1" w:rsidRPr="0003060E">
        <w:rPr>
          <w:rFonts w:cstheme="minorHAnsi"/>
        </w:rPr>
        <w:t xml:space="preserve"> </w:t>
      </w:r>
      <w:r w:rsidR="009862F1" w:rsidRPr="0003060E">
        <w:rPr>
          <w:rFonts w:cstheme="minorHAnsi"/>
          <w:lang w:bidi="en-US"/>
        </w:rPr>
        <w:t xml:space="preserve">Luke Nottage, ‘International Commercial Arbitration in Australia: What’s New and What’s Next?’ (2013) 30(5) </w:t>
      </w:r>
      <w:r w:rsidR="009862F1" w:rsidRPr="0003060E">
        <w:rPr>
          <w:rFonts w:cstheme="minorHAnsi"/>
          <w:i/>
          <w:lang w:bidi="en-US"/>
        </w:rPr>
        <w:t xml:space="preserve">Journal of International Arbitration </w:t>
      </w:r>
      <w:r w:rsidR="009862F1" w:rsidRPr="0003060E">
        <w:rPr>
          <w:rFonts w:cstheme="minorHAnsi"/>
          <w:lang w:bidi="en-US"/>
        </w:rPr>
        <w:t>465</w:t>
      </w:r>
      <w:r w:rsidR="00EA79C0" w:rsidRPr="0003060E">
        <w:rPr>
          <w:rFonts w:cstheme="minorHAnsi"/>
          <w:lang w:bidi="en-US"/>
        </w:rPr>
        <w:t xml:space="preserve">; </w:t>
      </w:r>
      <w:proofErr w:type="spellStart"/>
      <w:r w:rsidR="00821827" w:rsidRPr="0003060E">
        <w:rPr>
          <w:rFonts w:cstheme="minorHAnsi"/>
        </w:rPr>
        <w:t>Nigmatullina</w:t>
      </w:r>
      <w:proofErr w:type="spellEnd"/>
      <w:r w:rsidR="00821827" w:rsidRPr="0003060E">
        <w:rPr>
          <w:rFonts w:cstheme="minorHAnsi"/>
        </w:rPr>
        <w:t xml:space="preserve"> (n 74); </w:t>
      </w:r>
      <w:r w:rsidR="00EA79C0" w:rsidRPr="0003060E">
        <w:rPr>
          <w:rFonts w:cstheme="minorHAnsi"/>
          <w:lang w:bidi="en-US"/>
        </w:rPr>
        <w:t xml:space="preserve">Albert </w:t>
      </w:r>
      <w:proofErr w:type="spellStart"/>
      <w:r w:rsidR="00EA79C0" w:rsidRPr="0003060E">
        <w:rPr>
          <w:rFonts w:cstheme="minorHAnsi"/>
          <w:lang w:bidi="en-US"/>
        </w:rPr>
        <w:t>Monichino</w:t>
      </w:r>
      <w:proofErr w:type="spellEnd"/>
      <w:r w:rsidR="00EA79C0" w:rsidRPr="0003060E">
        <w:rPr>
          <w:rFonts w:cstheme="minorHAnsi"/>
          <w:lang w:bidi="en-US"/>
        </w:rPr>
        <w:t xml:space="preserve"> and Nobumichi Teramura, ‘</w:t>
      </w:r>
      <w:r w:rsidR="00EA79C0" w:rsidRPr="0003060E">
        <w:rPr>
          <w:rFonts w:cstheme="minorHAnsi"/>
        </w:rPr>
        <w:t xml:space="preserve">New Frontiers for International Commercial Arbitration in Australia: Beyond the “Lucky Country”’ in Luke Nottage, Shahla Ali, Bruno Jetin and Nobumichi Teramura (eds), </w:t>
      </w:r>
      <w:r w:rsidR="00EA79C0" w:rsidRPr="0003060E">
        <w:rPr>
          <w:rFonts w:cstheme="minorHAnsi"/>
          <w:i/>
          <w:iCs/>
        </w:rPr>
        <w:t xml:space="preserve">New Frontiers in Asia-Pacific International Arbitration and Dispute Resolution </w:t>
      </w:r>
      <w:r w:rsidR="00EA79C0" w:rsidRPr="0003060E">
        <w:rPr>
          <w:rFonts w:cstheme="minorHAnsi"/>
        </w:rPr>
        <w:t>(Wolters Kluwer 2021) XXX.</w:t>
      </w:r>
    </w:p>
  </w:footnote>
  <w:footnote w:id="91">
    <w:p w14:paraId="4FE2DF17" w14:textId="6F494246" w:rsidR="00643C4E" w:rsidRPr="0003060E" w:rsidRDefault="00643C4E">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 xml:space="preserve">Nottage </w:t>
      </w:r>
      <w:r w:rsidR="00745729" w:rsidRPr="0003060E">
        <w:rPr>
          <w:rFonts w:cstheme="minorHAnsi"/>
          <w:lang w:val="en-US"/>
        </w:rPr>
        <w:t xml:space="preserve">(n </w:t>
      </w:r>
      <w:r w:rsidR="00821827" w:rsidRPr="0003060E">
        <w:rPr>
          <w:rFonts w:cstheme="minorHAnsi"/>
          <w:lang w:val="en-US"/>
        </w:rPr>
        <w:t>30</w:t>
      </w:r>
      <w:r w:rsidR="00745729" w:rsidRPr="0003060E">
        <w:rPr>
          <w:rFonts w:cstheme="minorHAnsi"/>
          <w:lang w:val="en-US"/>
        </w:rPr>
        <w:t xml:space="preserve">) </w:t>
      </w:r>
      <w:r w:rsidR="00EA7D8D" w:rsidRPr="0003060E">
        <w:rPr>
          <w:rFonts w:cstheme="minorHAnsi"/>
          <w:lang w:val="en-US"/>
        </w:rPr>
        <w:t>92, 112.</w:t>
      </w:r>
    </w:p>
  </w:footnote>
  <w:footnote w:id="92">
    <w:p w14:paraId="775B1DA6" w14:textId="015834ED" w:rsidR="00643C4E" w:rsidRPr="0003060E" w:rsidRDefault="00643C4E">
      <w:pPr>
        <w:pStyle w:val="FootnoteText"/>
        <w:rPr>
          <w:rFonts w:cstheme="minorHAnsi"/>
          <w:lang w:val="en-US"/>
        </w:rPr>
      </w:pPr>
      <w:r w:rsidRPr="0003060E">
        <w:rPr>
          <w:rStyle w:val="FootnoteReference"/>
          <w:rFonts w:cstheme="minorHAnsi"/>
        </w:rPr>
        <w:footnoteRef/>
      </w:r>
      <w:r w:rsidRPr="0003060E">
        <w:rPr>
          <w:rFonts w:cstheme="minorHAnsi"/>
        </w:rPr>
        <w:t xml:space="preserve"> </w:t>
      </w:r>
      <w:hyperlink w:history="1"/>
      <w:r w:rsidR="0002795E" w:rsidRPr="0003060E">
        <w:rPr>
          <w:rFonts w:cstheme="minorHAnsi"/>
          <w:lang w:val="en-GB"/>
        </w:rPr>
        <w:t xml:space="preserve">Mark Goodrich, </w:t>
      </w:r>
      <w:r w:rsidR="00751484" w:rsidRPr="0003060E">
        <w:rPr>
          <w:rFonts w:cstheme="minorHAnsi"/>
          <w:lang w:val="en-GB"/>
        </w:rPr>
        <w:t>‘</w:t>
      </w:r>
      <w:r w:rsidR="0002795E" w:rsidRPr="0003060E">
        <w:rPr>
          <w:rFonts w:cstheme="minorHAnsi"/>
          <w:iCs/>
          <w:lang w:val="en-GB"/>
        </w:rPr>
        <w:t>Arb-Med: Ideal Solution or Dangerous Heresy</w:t>
      </w:r>
      <w:r w:rsidR="0002795E" w:rsidRPr="0003060E">
        <w:rPr>
          <w:rFonts w:cstheme="minorHAnsi"/>
          <w:i/>
          <w:lang w:val="en-GB"/>
        </w:rPr>
        <w:t>?</w:t>
      </w:r>
      <w:r w:rsidR="00751484" w:rsidRPr="0003060E">
        <w:rPr>
          <w:rFonts w:cstheme="minorHAnsi"/>
          <w:iCs/>
          <w:lang w:val="en-GB"/>
        </w:rPr>
        <w:t>’</w:t>
      </w:r>
      <w:r w:rsidR="00751484" w:rsidRPr="0003060E">
        <w:rPr>
          <w:rFonts w:cstheme="minorHAnsi"/>
          <w:lang w:val="en-GB"/>
        </w:rPr>
        <w:t xml:space="preserve"> (2012)</w:t>
      </w:r>
      <w:r w:rsidR="0002795E" w:rsidRPr="0003060E">
        <w:rPr>
          <w:rFonts w:cstheme="minorHAnsi"/>
          <w:lang w:val="en-GB"/>
        </w:rPr>
        <w:t xml:space="preserve"> 15</w:t>
      </w:r>
      <w:r w:rsidR="0002795E" w:rsidRPr="0003060E">
        <w:rPr>
          <w:rFonts w:cstheme="minorHAnsi"/>
          <w:i/>
          <w:iCs/>
          <w:lang w:val="en-GB"/>
        </w:rPr>
        <w:t xml:space="preserve"> International Arbitration Law Review </w:t>
      </w:r>
      <w:r w:rsidR="0002795E" w:rsidRPr="0003060E">
        <w:rPr>
          <w:rFonts w:cstheme="minorHAnsi"/>
          <w:lang w:val="en-GB"/>
        </w:rPr>
        <w:t>12</w:t>
      </w:r>
      <w:r w:rsidR="0002795E" w:rsidRPr="0003060E">
        <w:rPr>
          <w:rFonts w:cstheme="minorHAnsi"/>
        </w:rPr>
        <w:t>.</w:t>
      </w:r>
    </w:p>
  </w:footnote>
  <w:footnote w:id="93">
    <w:p w14:paraId="3B831E9D" w14:textId="4B03A5E3" w:rsidR="00635B40" w:rsidRPr="0003060E" w:rsidRDefault="00635B40" w:rsidP="00635B40">
      <w:pPr>
        <w:pStyle w:val="FootnoteText"/>
        <w:rPr>
          <w:rFonts w:cstheme="minorHAnsi"/>
        </w:rPr>
      </w:pPr>
      <w:r w:rsidRPr="0003060E">
        <w:rPr>
          <w:rStyle w:val="FootnoteReference"/>
          <w:rFonts w:cstheme="minorHAnsi"/>
        </w:rPr>
        <w:footnoteRef/>
      </w:r>
      <w:r w:rsidRPr="0003060E">
        <w:rPr>
          <w:rFonts w:cstheme="minorHAnsi"/>
        </w:rPr>
        <w:t xml:space="preserve"> </w:t>
      </w:r>
      <w:r w:rsidRPr="0003060E">
        <w:rPr>
          <w:rFonts w:cstheme="minorHAnsi"/>
          <w:lang w:val="en-US"/>
        </w:rPr>
        <w:t xml:space="preserve">Cf </w:t>
      </w:r>
      <w:r w:rsidR="00507336" w:rsidRPr="0003060E">
        <w:rPr>
          <w:rFonts w:cstheme="minorHAnsi"/>
          <w:lang w:val="en-US"/>
        </w:rPr>
        <w:t xml:space="preserve">Greenberg et al (n 47) </w:t>
      </w:r>
      <w:r w:rsidR="000A3B78" w:rsidRPr="0003060E">
        <w:rPr>
          <w:rFonts w:cstheme="minorHAnsi"/>
        </w:rPr>
        <w:t>93</w:t>
      </w:r>
      <w:r w:rsidR="005A19DB" w:rsidRPr="0003060E">
        <w:rPr>
          <w:rFonts w:cstheme="minorHAnsi"/>
          <w:lang w:val="en-US"/>
        </w:rPr>
        <w:t xml:space="preserve"> (referring to an opinion of Aaron Broches)</w:t>
      </w:r>
      <w:r w:rsidRPr="0003060E">
        <w:rPr>
          <w:rFonts w:cstheme="minorHAnsi"/>
          <w:lang w:val="en-US"/>
        </w:rPr>
        <w:t xml:space="preserve">. </w:t>
      </w:r>
    </w:p>
  </w:footnote>
  <w:footnote w:id="94">
    <w:p w14:paraId="41E6B19E" w14:textId="036C2AA6" w:rsidR="00EC08E4" w:rsidRPr="0003060E" w:rsidRDefault="00EC08E4">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 xml:space="preserve">Available via </w:t>
      </w:r>
      <w:r w:rsidR="006D0F9C" w:rsidRPr="0003060E">
        <w:rPr>
          <w:rFonts w:cstheme="minorHAnsi"/>
          <w:lang w:val="en-US"/>
        </w:rPr>
        <w:t xml:space="preserve">‘Arbitration’, </w:t>
      </w:r>
      <w:r w:rsidR="006D0F9C" w:rsidRPr="0003060E">
        <w:rPr>
          <w:rFonts w:cstheme="minorHAnsi"/>
          <w:i/>
          <w:iCs/>
          <w:lang w:val="en-US"/>
        </w:rPr>
        <w:t xml:space="preserve">CEDR </w:t>
      </w:r>
      <w:r w:rsidR="006D0F9C" w:rsidRPr="0003060E">
        <w:rPr>
          <w:rFonts w:cstheme="minorHAnsi"/>
          <w:lang w:val="en-US"/>
        </w:rPr>
        <w:t>(Web Page) &lt;</w:t>
      </w:r>
      <w:hyperlink r:id="rId37" w:history="1">
        <w:r w:rsidR="006D0F9C" w:rsidRPr="0003060E">
          <w:rPr>
            <w:rStyle w:val="Hyperlink"/>
            <w:rFonts w:cstheme="minorHAnsi"/>
            <w:lang w:val="en-US"/>
          </w:rPr>
          <w:t>https://www.cedr.com/alternative-dispute-resolution-processes/arbitration/</w:t>
        </w:r>
      </w:hyperlink>
      <w:r w:rsidR="006D0F9C" w:rsidRPr="0003060E">
        <w:rPr>
          <w:rFonts w:cstheme="minorHAnsi"/>
          <w:lang w:val="en-US"/>
        </w:rPr>
        <w:t>&gt;</w:t>
      </w:r>
      <w:r w:rsidRPr="0003060E">
        <w:rPr>
          <w:rFonts w:cstheme="minorHAnsi"/>
          <w:lang w:val="en-US"/>
        </w:rPr>
        <w:t xml:space="preserve">. </w:t>
      </w:r>
    </w:p>
  </w:footnote>
  <w:footnote w:id="95">
    <w:p w14:paraId="6808DC0D" w14:textId="7F952103" w:rsidR="005A1137" w:rsidRPr="0003060E" w:rsidRDefault="005A1137">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Available via</w:t>
      </w:r>
      <w:r w:rsidR="003A4244" w:rsidRPr="0003060E">
        <w:rPr>
          <w:rFonts w:cstheme="minorHAnsi"/>
          <w:lang w:val="en-US"/>
        </w:rPr>
        <w:t xml:space="preserve"> ‘Arb-Med Rules’</w:t>
      </w:r>
      <w:r w:rsidR="00601DA5" w:rsidRPr="0003060E">
        <w:rPr>
          <w:rFonts w:cstheme="minorHAnsi"/>
          <w:lang w:val="en-US"/>
        </w:rPr>
        <w:t xml:space="preserve">, </w:t>
      </w:r>
      <w:r w:rsidR="00601DA5" w:rsidRPr="0003060E">
        <w:rPr>
          <w:rFonts w:cstheme="minorHAnsi"/>
          <w:i/>
          <w:iCs/>
          <w:lang w:val="en-US"/>
        </w:rPr>
        <w:t>New Zealand International Arbitration Centre</w:t>
      </w:r>
      <w:r w:rsidR="006D1AC7" w:rsidRPr="0003060E">
        <w:rPr>
          <w:rFonts w:cstheme="minorHAnsi"/>
          <w:lang w:val="en-US"/>
        </w:rPr>
        <w:t xml:space="preserve"> (Web Post, 2018)</w:t>
      </w:r>
      <w:r w:rsidR="00D348DF" w:rsidRPr="0003060E">
        <w:rPr>
          <w:rFonts w:cstheme="minorHAnsi"/>
          <w:lang w:val="en-US"/>
        </w:rPr>
        <w:t xml:space="preserve"> &lt;</w:t>
      </w:r>
      <w:hyperlink r:id="rId38" w:history="1">
        <w:r w:rsidR="00D348DF" w:rsidRPr="0003060E">
          <w:rPr>
            <w:rStyle w:val="Hyperlink"/>
            <w:rFonts w:cstheme="minorHAnsi"/>
            <w:lang w:val="en-US"/>
          </w:rPr>
          <w:t>https://nziac.com/arb-med/arb-med-rules</w:t>
        </w:r>
      </w:hyperlink>
      <w:r w:rsidR="00D348DF" w:rsidRPr="0003060E">
        <w:rPr>
          <w:rFonts w:cstheme="minorHAnsi"/>
          <w:lang w:val="en-US"/>
        </w:rPr>
        <w:t>&gt;</w:t>
      </w:r>
      <w:r w:rsidRPr="0003060E">
        <w:rPr>
          <w:rFonts w:cstheme="minorHAnsi"/>
          <w:lang w:val="en-US"/>
        </w:rPr>
        <w:t>.</w:t>
      </w:r>
    </w:p>
  </w:footnote>
  <w:footnote w:id="96">
    <w:p w14:paraId="1105EA4E" w14:textId="4B8B6E1E" w:rsidR="00FE71A2" w:rsidRPr="0003060E" w:rsidRDefault="00FE71A2">
      <w:pPr>
        <w:pStyle w:val="FootnoteText"/>
        <w:rPr>
          <w:rFonts w:cstheme="minorHAnsi"/>
        </w:rPr>
      </w:pPr>
      <w:r w:rsidRPr="0003060E">
        <w:rPr>
          <w:rStyle w:val="FootnoteReference"/>
          <w:rFonts w:cstheme="minorHAnsi"/>
        </w:rPr>
        <w:footnoteRef/>
      </w:r>
      <w:r w:rsidRPr="0003060E">
        <w:rPr>
          <w:rFonts w:cstheme="minorHAnsi"/>
        </w:rPr>
        <w:t xml:space="preserve"> [2003] 3 NZLR 121.</w:t>
      </w:r>
    </w:p>
  </w:footnote>
  <w:footnote w:id="97">
    <w:p w14:paraId="654219BC" w14:textId="1C602E82" w:rsidR="00861CEF" w:rsidRPr="0003060E" w:rsidRDefault="00861CEF">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 xml:space="preserve">See generally </w:t>
      </w:r>
      <w:r w:rsidR="007A43B8" w:rsidRPr="0003060E">
        <w:rPr>
          <w:rFonts w:cstheme="minorHAnsi"/>
          <w:lang w:val="en-US"/>
        </w:rPr>
        <w:t xml:space="preserve">Williams et al, </w:t>
      </w:r>
      <w:r w:rsidRPr="0003060E">
        <w:rPr>
          <w:rFonts w:cstheme="minorHAnsi"/>
          <w:i/>
          <w:iCs/>
          <w:lang w:val="en-US"/>
        </w:rPr>
        <w:t>Williams and Kawharu</w:t>
      </w:r>
      <w:r w:rsidR="007A43B8" w:rsidRPr="0003060E">
        <w:rPr>
          <w:rFonts w:cstheme="minorHAnsi"/>
          <w:i/>
          <w:iCs/>
          <w:lang w:val="en-US"/>
        </w:rPr>
        <w:t xml:space="preserve"> on Arbitration</w:t>
      </w:r>
      <w:r w:rsidR="000E75FE" w:rsidRPr="0003060E">
        <w:rPr>
          <w:rFonts w:cstheme="minorHAnsi"/>
          <w:i/>
          <w:iCs/>
          <w:lang w:val="en-US"/>
        </w:rPr>
        <w:t xml:space="preserve"> </w:t>
      </w:r>
      <w:r w:rsidR="000E75FE" w:rsidRPr="0003060E">
        <w:rPr>
          <w:rFonts w:cstheme="minorHAnsi"/>
          <w:lang w:val="en-US"/>
        </w:rPr>
        <w:t xml:space="preserve">(LexisNexis, 2nd ed, </w:t>
      </w:r>
      <w:r w:rsidR="00A3795C" w:rsidRPr="0003060E">
        <w:rPr>
          <w:rFonts w:cstheme="minorHAnsi"/>
          <w:lang w:val="en-US"/>
        </w:rPr>
        <w:t>2017</w:t>
      </w:r>
      <w:r w:rsidR="000E75FE" w:rsidRPr="0003060E">
        <w:rPr>
          <w:rFonts w:cstheme="minorHAnsi"/>
          <w:lang w:val="en-US"/>
        </w:rPr>
        <w:t>)</w:t>
      </w:r>
      <w:r w:rsidR="00D13118" w:rsidRPr="0003060E">
        <w:rPr>
          <w:rFonts w:cstheme="minorHAnsi"/>
          <w:lang w:val="en-US"/>
        </w:rPr>
        <w:t xml:space="preserve"> </w:t>
      </w:r>
      <w:r w:rsidR="00FE71A2" w:rsidRPr="0003060E">
        <w:rPr>
          <w:rFonts w:cstheme="minorHAnsi"/>
          <w:lang w:val="en-US"/>
        </w:rPr>
        <w:t xml:space="preserve">17-20 and </w:t>
      </w:r>
      <w:r w:rsidRPr="0003060E">
        <w:rPr>
          <w:rFonts w:cstheme="minorHAnsi"/>
          <w:lang w:val="en-US"/>
        </w:rPr>
        <w:t>514-</w:t>
      </w:r>
      <w:r w:rsidR="00821263" w:rsidRPr="0003060E">
        <w:rPr>
          <w:rFonts w:cstheme="minorHAnsi"/>
          <w:lang w:val="en-US"/>
        </w:rPr>
        <w:t>1</w:t>
      </w:r>
      <w:r w:rsidR="007B6A25" w:rsidRPr="0003060E">
        <w:rPr>
          <w:rFonts w:cstheme="minorHAnsi"/>
          <w:lang w:val="en-US"/>
        </w:rPr>
        <w:t>9.</w:t>
      </w:r>
    </w:p>
  </w:footnote>
  <w:footnote w:id="98">
    <w:p w14:paraId="7ACA505C" w14:textId="30E4E7B3" w:rsidR="00861CEF" w:rsidRPr="0003060E" w:rsidRDefault="00861CEF" w:rsidP="00861CEF">
      <w:pPr>
        <w:pStyle w:val="FootnoteText"/>
        <w:rPr>
          <w:rFonts w:cstheme="minorHAnsi"/>
          <w:lang w:val="en-US"/>
        </w:rPr>
      </w:pPr>
      <w:r w:rsidRPr="0003060E">
        <w:rPr>
          <w:rStyle w:val="FootnoteReference"/>
          <w:rFonts w:cstheme="minorHAnsi"/>
        </w:rPr>
        <w:footnoteRef/>
      </w:r>
      <w:r w:rsidR="00FE71A2" w:rsidRPr="0003060E">
        <w:rPr>
          <w:rFonts w:cstheme="minorHAnsi"/>
          <w:lang w:val="en-US"/>
        </w:rPr>
        <w:t xml:space="preserve"> </w:t>
      </w:r>
      <w:r w:rsidRPr="0003060E">
        <w:rPr>
          <w:rFonts w:cstheme="minorHAnsi"/>
          <w:lang w:val="en-US"/>
        </w:rPr>
        <w:t>[1999] 2 NZLR 452</w:t>
      </w:r>
      <w:r w:rsidR="00A16DAC" w:rsidRPr="0003060E">
        <w:rPr>
          <w:rFonts w:cstheme="minorHAnsi"/>
          <w:lang w:val="en-US"/>
        </w:rPr>
        <w:t>,</w:t>
      </w:r>
      <w:r w:rsidRPr="0003060E">
        <w:rPr>
          <w:rFonts w:cstheme="minorHAnsi"/>
          <w:lang w:val="en-US"/>
        </w:rPr>
        <w:t xml:space="preserve"> 463. Applying these principles Fisher J upheld the award, even though the arbitrator (who had not engaged in Arb-Med) had not hewed closely to the award debtor’s evidence and arguments. For similar significant deference to arbitrator discretion in challenges based on procedural public policy (including natural justice) see </w:t>
      </w:r>
      <w:r w:rsidR="007F6B42" w:rsidRPr="0003060E">
        <w:rPr>
          <w:rFonts w:cstheme="minorHAnsi"/>
          <w:i/>
          <w:iCs/>
        </w:rPr>
        <w:t>Castel Electronics Pty Ltd v TCL Air Conditioner (Zhongshan) Co Ltd (No 2)</w:t>
      </w:r>
      <w:r w:rsidR="007F6B42" w:rsidRPr="0003060E">
        <w:rPr>
          <w:rFonts w:cstheme="minorHAnsi"/>
        </w:rPr>
        <w:t> [2012] FCA 1214.</w:t>
      </w:r>
      <w:r w:rsidRPr="0003060E">
        <w:rPr>
          <w:rFonts w:cstheme="minorHAnsi"/>
          <w:lang w:val="en-US"/>
        </w:rPr>
        <w:t xml:space="preserve">  </w:t>
      </w:r>
    </w:p>
  </w:footnote>
  <w:footnote w:id="99">
    <w:p w14:paraId="37B37C62" w14:textId="7C34C6C0" w:rsidR="00722013" w:rsidRPr="0003060E" w:rsidRDefault="00FE71A2">
      <w:pPr>
        <w:pStyle w:val="FootnoteText"/>
        <w:rPr>
          <w:rFonts w:cstheme="minorHAnsi"/>
        </w:rPr>
      </w:pPr>
      <w:r w:rsidRPr="0003060E">
        <w:rPr>
          <w:rStyle w:val="FootnoteReference"/>
          <w:rFonts w:cstheme="minorHAnsi"/>
        </w:rPr>
        <w:footnoteRef/>
      </w:r>
      <w:r w:rsidRPr="0003060E">
        <w:rPr>
          <w:rFonts w:cstheme="minorHAnsi"/>
        </w:rPr>
        <w:t xml:space="preserve"> </w:t>
      </w:r>
      <w:r w:rsidR="00722013" w:rsidRPr="0003060E">
        <w:rPr>
          <w:rFonts w:cstheme="minorHAnsi"/>
        </w:rPr>
        <w:t xml:space="preserve">For </w:t>
      </w:r>
      <w:r w:rsidR="005F1227" w:rsidRPr="0003060E">
        <w:rPr>
          <w:rFonts w:cstheme="minorHAnsi"/>
        </w:rPr>
        <w:t>rare engagement,</w:t>
      </w:r>
      <w:r w:rsidR="00722013" w:rsidRPr="0003060E">
        <w:rPr>
          <w:rFonts w:cstheme="minorHAnsi"/>
        </w:rPr>
        <w:t xml:space="preserve"> based on a paper drafted for discussion at the 2013 AMINZ conference, see </w:t>
      </w:r>
      <w:proofErr w:type="spellStart"/>
      <w:r w:rsidR="00722013" w:rsidRPr="0003060E">
        <w:rPr>
          <w:rFonts w:cstheme="minorHAnsi"/>
        </w:rPr>
        <w:t>Roydon</w:t>
      </w:r>
      <w:proofErr w:type="spellEnd"/>
      <w:r w:rsidR="00722013" w:rsidRPr="0003060E">
        <w:rPr>
          <w:rFonts w:cstheme="minorHAnsi"/>
        </w:rPr>
        <w:t xml:space="preserve"> Hindle, “Is Arb-Med an Oxymoron?” in Tony Angelo et al (eds) </w:t>
      </w:r>
      <w:r w:rsidR="00722013" w:rsidRPr="0003060E">
        <w:rPr>
          <w:rFonts w:cstheme="minorHAnsi"/>
          <w:i/>
          <w:iCs/>
        </w:rPr>
        <w:t xml:space="preserve">New Zealand Association of Comparative Law </w:t>
      </w:r>
      <w:r w:rsidR="0068611C" w:rsidRPr="0003060E">
        <w:rPr>
          <w:rFonts w:cstheme="minorHAnsi"/>
          <w:i/>
          <w:iCs/>
        </w:rPr>
        <w:t>S</w:t>
      </w:r>
      <w:r w:rsidR="00722013" w:rsidRPr="0003060E">
        <w:rPr>
          <w:rFonts w:cstheme="minorHAnsi"/>
          <w:i/>
          <w:iCs/>
        </w:rPr>
        <w:t xml:space="preserve">pecial </w:t>
      </w:r>
      <w:r w:rsidR="0068611C" w:rsidRPr="0003060E">
        <w:rPr>
          <w:rFonts w:cstheme="minorHAnsi"/>
          <w:i/>
          <w:iCs/>
        </w:rPr>
        <w:t>I</w:t>
      </w:r>
      <w:r w:rsidR="00722013" w:rsidRPr="0003060E">
        <w:rPr>
          <w:rFonts w:cstheme="minorHAnsi"/>
          <w:i/>
          <w:iCs/>
        </w:rPr>
        <w:t>ssue XVII</w:t>
      </w:r>
      <w:r w:rsidR="00722013" w:rsidRPr="0003060E">
        <w:rPr>
          <w:rFonts w:cstheme="minorHAnsi"/>
        </w:rPr>
        <w:t xml:space="preserve"> (2014) 225 via &lt;https://www.wgtn.ac.nz/law/research/publications/about-nzacl/publications/special-issues&gt;.</w:t>
      </w:r>
    </w:p>
  </w:footnote>
  <w:footnote w:id="100">
    <w:p w14:paraId="582D1AE1" w14:textId="65A2E0E1" w:rsidR="00F02876" w:rsidRPr="0003060E" w:rsidRDefault="00F02876">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Available via</w:t>
      </w:r>
      <w:r w:rsidR="004D4826" w:rsidRPr="0003060E">
        <w:rPr>
          <w:rFonts w:cstheme="minorHAnsi"/>
          <w:lang w:val="en-US"/>
        </w:rPr>
        <w:t xml:space="preserve"> ‘New report and guide to drive thought leadership in dispute prevention and resolution’</w:t>
      </w:r>
      <w:r w:rsidR="00127838" w:rsidRPr="0003060E">
        <w:rPr>
          <w:rFonts w:cstheme="minorHAnsi"/>
          <w:lang w:val="en-US"/>
        </w:rPr>
        <w:t xml:space="preserve"> (Report, 3 July 2023)</w:t>
      </w:r>
      <w:r w:rsidRPr="0003060E">
        <w:rPr>
          <w:rFonts w:cstheme="minorHAnsi"/>
          <w:lang w:val="en-US"/>
        </w:rPr>
        <w:t xml:space="preserve"> </w:t>
      </w:r>
      <w:r w:rsidR="00127838" w:rsidRPr="0003060E">
        <w:rPr>
          <w:rFonts w:cstheme="minorHAnsi"/>
          <w:lang w:val="en-US"/>
        </w:rPr>
        <w:t>&lt;</w:t>
      </w:r>
      <w:hyperlink r:id="rId39" w:history="1">
        <w:r w:rsidR="00127838" w:rsidRPr="0003060E">
          <w:rPr>
            <w:rStyle w:val="Hyperlink"/>
            <w:rFonts w:cstheme="minorHAnsi"/>
            <w:lang w:val="en-US"/>
          </w:rPr>
          <w:t>https://iccwbo.org/news-publications/arbitration-adr-rules-and-tools/new-report-and-guide-to-drive-thought-leadership-in-dispute-prevention-and-resolution/</w:t>
        </w:r>
      </w:hyperlink>
      <w:r w:rsidR="00127838" w:rsidRPr="0003060E">
        <w:rPr>
          <w:rFonts w:cstheme="minorHAnsi"/>
          <w:lang w:val="en-US"/>
        </w:rPr>
        <w:t>&gt;</w:t>
      </w:r>
      <w:r w:rsidRPr="0003060E">
        <w:rPr>
          <w:rFonts w:cstheme="minorHAnsi"/>
          <w:lang w:val="en-US"/>
        </w:rPr>
        <w:t xml:space="preserve">. </w:t>
      </w:r>
    </w:p>
  </w:footnote>
  <w:footnote w:id="101">
    <w:p w14:paraId="2A5BDED9" w14:textId="11F5D0E5" w:rsidR="00FA397B" w:rsidRPr="0003060E" w:rsidRDefault="00FA397B">
      <w:pPr>
        <w:pStyle w:val="FootnoteText"/>
        <w:rPr>
          <w:rFonts w:cstheme="minorHAnsi"/>
        </w:rPr>
      </w:pPr>
      <w:r w:rsidRPr="0003060E">
        <w:rPr>
          <w:rStyle w:val="FootnoteReference"/>
          <w:rFonts w:cstheme="minorHAnsi"/>
        </w:rPr>
        <w:footnoteRef/>
      </w:r>
      <w:r w:rsidRPr="0003060E">
        <w:rPr>
          <w:rFonts w:cstheme="minorHAnsi"/>
        </w:rPr>
        <w:t xml:space="preserve"> The SIDRA Survey 2022 (n 3</w:t>
      </w:r>
      <w:r w:rsidR="00821827" w:rsidRPr="0003060E">
        <w:rPr>
          <w:rFonts w:cstheme="minorHAnsi"/>
        </w:rPr>
        <w:t>2</w:t>
      </w:r>
      <w:r w:rsidRPr="0003060E">
        <w:rPr>
          <w:rFonts w:cstheme="minorHAnsi"/>
        </w:rPr>
        <w:t>, Exhibit 8.1) does show some significant ‘experience’ with Arb-Med, but at a similar level to Arb-Med-Arb – probably linked to the large proportion of Singaporean respondents, familiar with the SIMC-SIAC Protocol. The reported experience with Arb-Med may similarly due mainly to 5% of the external counsel respondents being from China and 4% from Japan, for example, with another 10% of the corporate executive and counsel respondents coming from Japan.</w:t>
      </w:r>
    </w:p>
  </w:footnote>
  <w:footnote w:id="102">
    <w:p w14:paraId="398A890B" w14:textId="666003CD" w:rsidR="00E76D41" w:rsidRPr="0003060E" w:rsidRDefault="00E76D41" w:rsidP="00E76D41">
      <w:pPr>
        <w:rPr>
          <w:rFonts w:asciiTheme="minorHAnsi" w:hAnsiTheme="minorHAnsi" w:cstheme="minorHAnsi"/>
          <w:sz w:val="20"/>
          <w:szCs w:val="20"/>
        </w:rPr>
      </w:pPr>
      <w:r w:rsidRPr="0003060E">
        <w:rPr>
          <w:rStyle w:val="FootnoteReference"/>
          <w:rFonts w:asciiTheme="minorHAnsi" w:hAnsiTheme="minorHAnsi" w:cstheme="minorHAnsi"/>
          <w:sz w:val="20"/>
          <w:szCs w:val="20"/>
        </w:rPr>
        <w:footnoteRef/>
      </w:r>
      <w:r w:rsidRPr="0003060E">
        <w:rPr>
          <w:rFonts w:asciiTheme="minorHAnsi" w:hAnsiTheme="minorHAnsi" w:cstheme="minorHAnsi"/>
          <w:sz w:val="20"/>
          <w:szCs w:val="20"/>
        </w:rPr>
        <w:t xml:space="preserve"> See generally Beazley (n 64) and </w:t>
      </w:r>
      <w:proofErr w:type="spellStart"/>
      <w:proofErr w:type="gramStart"/>
      <w:r w:rsidRPr="0003060E">
        <w:rPr>
          <w:rFonts w:asciiTheme="minorHAnsi" w:hAnsiTheme="minorHAnsi" w:cstheme="minorHAnsi"/>
          <w:sz w:val="20"/>
          <w:szCs w:val="20"/>
        </w:rPr>
        <w:t>eg</w:t>
      </w:r>
      <w:proofErr w:type="spellEnd"/>
      <w:proofErr w:type="gramEnd"/>
      <w:r w:rsidRPr="0003060E">
        <w:rPr>
          <w:rFonts w:asciiTheme="minorHAnsi" w:hAnsiTheme="minorHAnsi" w:cstheme="minorHAnsi"/>
          <w:sz w:val="20"/>
          <w:szCs w:val="20"/>
        </w:rPr>
        <w:t xml:space="preserve"> </w:t>
      </w:r>
      <w:r w:rsidRPr="0003060E">
        <w:rPr>
          <w:rFonts w:asciiTheme="minorHAnsi" w:hAnsiTheme="minorHAnsi" w:cstheme="minorHAnsi"/>
          <w:i/>
          <w:iCs/>
          <w:sz w:val="20"/>
          <w:szCs w:val="20"/>
        </w:rPr>
        <w:t>Hancock v Hancock Prospecting Pty Limited</w:t>
      </w:r>
      <w:r w:rsidRPr="0003060E">
        <w:rPr>
          <w:rFonts w:asciiTheme="minorHAnsi" w:hAnsiTheme="minorHAnsi" w:cstheme="minorHAnsi"/>
          <w:sz w:val="20"/>
          <w:szCs w:val="20"/>
        </w:rPr>
        <w:t xml:space="preserve"> [2022] NSWSC 724 (albeit rejecting the challenge of the Hon Wayne Martin AC KC in the Rinehart family trust arbitration saga). Even if ultimately unsuccessful, challenges cause extra delays and costs, and can have a chilling effect on tribunals and lawyers trying new approaches to resolving disputes.</w:t>
      </w:r>
    </w:p>
  </w:footnote>
  <w:footnote w:id="103">
    <w:p w14:paraId="60C3D842" w14:textId="5DB603D7" w:rsidR="00C872CA" w:rsidRPr="0003060E" w:rsidRDefault="00C872CA">
      <w:pPr>
        <w:pStyle w:val="FootnoteText"/>
        <w:rPr>
          <w:rFonts w:cstheme="minorHAnsi"/>
        </w:rPr>
      </w:pPr>
      <w:r w:rsidRPr="0003060E">
        <w:rPr>
          <w:rStyle w:val="FootnoteReference"/>
          <w:rFonts w:cstheme="minorHAnsi"/>
        </w:rPr>
        <w:footnoteRef/>
      </w:r>
      <w:r w:rsidRPr="0003060E">
        <w:rPr>
          <w:rFonts w:cstheme="minorHAnsi"/>
        </w:rPr>
        <w:t xml:space="preserve"> See generally </w:t>
      </w:r>
      <w:r w:rsidR="005A19DB" w:rsidRPr="0003060E">
        <w:rPr>
          <w:rFonts w:cstheme="minorHAnsi"/>
          <w:lang w:val="en-GB"/>
        </w:rPr>
        <w:t xml:space="preserve">Kun Fan, </w:t>
      </w:r>
      <w:r w:rsidR="00A55FB0" w:rsidRPr="0003060E">
        <w:rPr>
          <w:rFonts w:cstheme="minorHAnsi"/>
          <w:lang w:val="en-GB"/>
        </w:rPr>
        <w:t>‘</w:t>
      </w:r>
      <w:r w:rsidR="005A19DB" w:rsidRPr="0003060E">
        <w:rPr>
          <w:rFonts w:cstheme="minorHAnsi"/>
          <w:iCs/>
          <w:lang w:val="en-GB"/>
        </w:rPr>
        <w:t>An Empirical Study of Arbitrators Acting as Mediators in China</w:t>
      </w:r>
      <w:r w:rsidR="000919BE" w:rsidRPr="0003060E">
        <w:rPr>
          <w:rFonts w:cstheme="minorHAnsi"/>
          <w:iCs/>
          <w:lang w:val="en-GB"/>
        </w:rPr>
        <w:t>’</w:t>
      </w:r>
      <w:r w:rsidR="000919BE" w:rsidRPr="0003060E">
        <w:rPr>
          <w:rFonts w:cstheme="minorHAnsi"/>
          <w:lang w:val="en-GB"/>
        </w:rPr>
        <w:t xml:space="preserve"> (2014)</w:t>
      </w:r>
      <w:r w:rsidR="005A19DB" w:rsidRPr="0003060E">
        <w:rPr>
          <w:rFonts w:cstheme="minorHAnsi"/>
          <w:lang w:val="en-GB"/>
        </w:rPr>
        <w:t xml:space="preserve"> 15 </w:t>
      </w:r>
      <w:r w:rsidR="005A19DB" w:rsidRPr="0003060E">
        <w:rPr>
          <w:rFonts w:cstheme="minorHAnsi"/>
          <w:i/>
          <w:iCs/>
          <w:lang w:val="en-GB"/>
        </w:rPr>
        <w:t>Cardozo Journal of Conflict Resolution</w:t>
      </w:r>
      <w:r w:rsidR="005A19DB" w:rsidRPr="0003060E">
        <w:rPr>
          <w:rFonts w:cstheme="minorHAnsi"/>
          <w:lang w:val="en-GB"/>
        </w:rPr>
        <w:t xml:space="preserve"> 777</w:t>
      </w:r>
      <w:r w:rsidR="000067FE" w:rsidRPr="0003060E">
        <w:rPr>
          <w:rFonts w:cstheme="minorHAnsi"/>
          <w:lang w:val="en-GB"/>
        </w:rPr>
        <w:t>;</w:t>
      </w:r>
      <w:r w:rsidR="005A19DB" w:rsidRPr="0003060E">
        <w:rPr>
          <w:rFonts w:cstheme="minorHAnsi"/>
          <w:lang w:val="en-GB"/>
        </w:rPr>
        <w:t xml:space="preserve"> and</w:t>
      </w:r>
      <w:r w:rsidRPr="0003060E">
        <w:rPr>
          <w:rFonts w:cstheme="minorHAnsi"/>
        </w:rPr>
        <w:t xml:space="preserve"> </w:t>
      </w:r>
      <w:r w:rsidR="0089642F" w:rsidRPr="0003060E">
        <w:rPr>
          <w:rFonts w:cstheme="minorHAnsi"/>
        </w:rPr>
        <w:t>Weixia Gu, ‘</w:t>
      </w:r>
      <w:r w:rsidR="00211B82" w:rsidRPr="0003060E">
        <w:rPr>
          <w:rFonts w:cstheme="minorHAnsi"/>
        </w:rPr>
        <w:t xml:space="preserve">Combinations of </w:t>
      </w:r>
      <w:r w:rsidR="000067FE" w:rsidRPr="0003060E">
        <w:rPr>
          <w:rFonts w:cstheme="minorHAnsi"/>
        </w:rPr>
        <w:t>M</w:t>
      </w:r>
      <w:r w:rsidR="00211B82" w:rsidRPr="0003060E">
        <w:rPr>
          <w:rFonts w:cstheme="minorHAnsi"/>
        </w:rPr>
        <w:t xml:space="preserve">ediation and </w:t>
      </w:r>
      <w:r w:rsidR="000067FE" w:rsidRPr="0003060E">
        <w:rPr>
          <w:rFonts w:cstheme="minorHAnsi"/>
        </w:rPr>
        <w:t>A</w:t>
      </w:r>
      <w:r w:rsidR="00211B82" w:rsidRPr="0003060E">
        <w:rPr>
          <w:rFonts w:cstheme="minorHAnsi"/>
        </w:rPr>
        <w:t xml:space="preserve">rbitration: </w:t>
      </w:r>
      <w:r w:rsidR="000067FE" w:rsidRPr="0003060E">
        <w:rPr>
          <w:rFonts w:cstheme="minorHAnsi"/>
        </w:rPr>
        <w:t>T</w:t>
      </w:r>
      <w:r w:rsidR="00211B82" w:rsidRPr="0003060E">
        <w:rPr>
          <w:rFonts w:cstheme="minorHAnsi"/>
        </w:rPr>
        <w:t xml:space="preserve">he </w:t>
      </w:r>
      <w:r w:rsidR="000067FE" w:rsidRPr="0003060E">
        <w:rPr>
          <w:rFonts w:cstheme="minorHAnsi"/>
        </w:rPr>
        <w:t>C</w:t>
      </w:r>
      <w:r w:rsidR="00211B82" w:rsidRPr="0003060E">
        <w:rPr>
          <w:rFonts w:cstheme="minorHAnsi"/>
        </w:rPr>
        <w:t>ase of China</w:t>
      </w:r>
      <w:r w:rsidR="0089642F" w:rsidRPr="0003060E">
        <w:rPr>
          <w:rFonts w:cstheme="minorHAnsi"/>
        </w:rPr>
        <w:t xml:space="preserve">’ </w:t>
      </w:r>
      <w:r w:rsidR="0089642F" w:rsidRPr="0003060E">
        <w:rPr>
          <w:rFonts w:cstheme="minorHAnsi"/>
          <w:lang w:val="en-US"/>
        </w:rPr>
        <w:t xml:space="preserve">in Anselmo Reyes and Weixia Gu (eds), </w:t>
      </w:r>
      <w:r w:rsidR="0089642F" w:rsidRPr="0003060E">
        <w:rPr>
          <w:rFonts w:cstheme="minorHAnsi"/>
          <w:i/>
          <w:iCs/>
          <w:lang w:val="en-US"/>
        </w:rPr>
        <w:t>Multi-Tier Approaches to the Resolution of International Disputes</w:t>
      </w:r>
      <w:r w:rsidR="0089642F" w:rsidRPr="0003060E">
        <w:rPr>
          <w:rFonts w:cstheme="minorHAnsi"/>
          <w:lang w:val="en-US"/>
        </w:rPr>
        <w:t xml:space="preserve"> (Cambridge University Press, 202</w:t>
      </w:r>
      <w:r w:rsidR="00BA6354" w:rsidRPr="0003060E">
        <w:rPr>
          <w:rFonts w:cstheme="minorHAnsi"/>
          <w:lang w:val="en-US"/>
        </w:rPr>
        <w:t>2</w:t>
      </w:r>
      <w:r w:rsidR="0089642F" w:rsidRPr="0003060E">
        <w:rPr>
          <w:rFonts w:cstheme="minorHAnsi"/>
          <w:lang w:val="en-US"/>
        </w:rPr>
        <w:t>)</w:t>
      </w:r>
      <w:r w:rsidR="006C4C9B" w:rsidRPr="0003060E">
        <w:rPr>
          <w:rFonts w:cstheme="minorHAnsi"/>
          <w:lang w:val="en-US"/>
        </w:rPr>
        <w:t xml:space="preserve"> 69</w:t>
      </w:r>
      <w:r w:rsidR="004973CD" w:rsidRPr="0003060E">
        <w:rPr>
          <w:rFonts w:cstheme="minorHAnsi"/>
          <w:lang w:val="en-US"/>
        </w:rPr>
        <w:t xml:space="preserve">. </w:t>
      </w:r>
    </w:p>
  </w:footnote>
  <w:footnote w:id="104">
    <w:p w14:paraId="55CBE4B5" w14:textId="5EBC607C" w:rsidR="00C872CA" w:rsidRPr="0003060E" w:rsidRDefault="00C872CA">
      <w:pPr>
        <w:pStyle w:val="FootnoteText"/>
        <w:rPr>
          <w:rFonts w:cstheme="minorHAnsi"/>
        </w:rPr>
      </w:pPr>
      <w:r w:rsidRPr="0003060E">
        <w:rPr>
          <w:rStyle w:val="FootnoteReference"/>
          <w:rFonts w:cstheme="minorHAnsi"/>
        </w:rPr>
        <w:footnoteRef/>
      </w:r>
      <w:r w:rsidRPr="0003060E">
        <w:rPr>
          <w:rFonts w:cstheme="minorHAnsi"/>
        </w:rPr>
        <w:t xml:space="preserve"> See generally </w:t>
      </w:r>
      <w:r w:rsidR="00FC71A4" w:rsidRPr="0003060E">
        <w:rPr>
          <w:rFonts w:cstheme="minorHAnsi"/>
        </w:rPr>
        <w:t>Kuan-Ling Shen</w:t>
      </w:r>
      <w:r w:rsidR="00D558DF" w:rsidRPr="0003060E">
        <w:rPr>
          <w:rFonts w:cstheme="minorHAnsi"/>
        </w:rPr>
        <w:t>,</w:t>
      </w:r>
      <w:r w:rsidR="00FC71A4" w:rsidRPr="0003060E">
        <w:rPr>
          <w:rFonts w:cstheme="minorHAnsi"/>
        </w:rPr>
        <w:t xml:space="preserve"> ‘Multi-tier dispute resolution: present situation and future developments in Taiwan’ </w:t>
      </w:r>
      <w:r w:rsidR="00FC71A4" w:rsidRPr="0003060E">
        <w:rPr>
          <w:rFonts w:cstheme="minorHAnsi"/>
          <w:lang w:val="en-US"/>
        </w:rPr>
        <w:t xml:space="preserve">in Anselmo Reyes and Weixia Gu (eds), </w:t>
      </w:r>
      <w:r w:rsidR="00FC71A4" w:rsidRPr="0003060E">
        <w:rPr>
          <w:rFonts w:cstheme="minorHAnsi"/>
          <w:i/>
          <w:iCs/>
          <w:lang w:val="en-US"/>
        </w:rPr>
        <w:t>Multi-Tier Approaches to the Resolution of International Disputes</w:t>
      </w:r>
      <w:r w:rsidR="00FC71A4" w:rsidRPr="0003060E">
        <w:rPr>
          <w:rFonts w:cstheme="minorHAnsi"/>
          <w:lang w:val="en-US"/>
        </w:rPr>
        <w:t xml:space="preserve"> (Cambridge University Press, 202</w:t>
      </w:r>
      <w:r w:rsidR="00BA6354" w:rsidRPr="0003060E">
        <w:rPr>
          <w:rFonts w:cstheme="minorHAnsi"/>
          <w:lang w:val="en-US"/>
        </w:rPr>
        <w:t>2</w:t>
      </w:r>
      <w:r w:rsidR="00FC71A4" w:rsidRPr="0003060E">
        <w:rPr>
          <w:rFonts w:cstheme="minorHAnsi"/>
          <w:lang w:val="en-US"/>
        </w:rPr>
        <w:t>)</w:t>
      </w:r>
      <w:r w:rsidR="0014619A" w:rsidRPr="0003060E">
        <w:rPr>
          <w:rFonts w:cstheme="minorHAnsi"/>
          <w:lang w:val="en-US"/>
        </w:rPr>
        <w:t xml:space="preserve"> 110</w:t>
      </w:r>
      <w:r w:rsidRPr="0003060E">
        <w:rPr>
          <w:rFonts w:cstheme="minorHAnsi"/>
        </w:rPr>
        <w:t xml:space="preserve">; </w:t>
      </w:r>
      <w:r w:rsidR="0039476F" w:rsidRPr="0003060E">
        <w:rPr>
          <w:rFonts w:cstheme="minorHAnsi"/>
        </w:rPr>
        <w:t>Winnie Ma, ‘</w:t>
      </w:r>
      <w:r w:rsidR="00BA6354" w:rsidRPr="0003060E">
        <w:rPr>
          <w:rFonts w:cstheme="minorHAnsi"/>
        </w:rPr>
        <w:t>Dispute Resolution in Asia: Taiwan</w:t>
      </w:r>
      <w:r w:rsidR="0039476F" w:rsidRPr="0003060E">
        <w:rPr>
          <w:rFonts w:cstheme="minorHAnsi"/>
        </w:rPr>
        <w:t>’</w:t>
      </w:r>
      <w:r w:rsidR="00DA0176" w:rsidRPr="0003060E">
        <w:rPr>
          <w:rFonts w:cstheme="minorHAnsi"/>
        </w:rPr>
        <w:t xml:space="preserve"> (</w:t>
      </w:r>
      <w:r w:rsidR="00BA6354" w:rsidRPr="0003060E">
        <w:rPr>
          <w:rFonts w:cstheme="minorHAnsi"/>
        </w:rPr>
        <w:t>Guest lecture</w:t>
      </w:r>
      <w:r w:rsidR="00DA0176" w:rsidRPr="0003060E">
        <w:rPr>
          <w:rFonts w:cstheme="minorHAnsi"/>
        </w:rPr>
        <w:t>, University of Sydney</w:t>
      </w:r>
      <w:r w:rsidR="00BA6354" w:rsidRPr="0003060E">
        <w:rPr>
          <w:rFonts w:cstheme="minorHAnsi"/>
        </w:rPr>
        <w:t xml:space="preserve"> Law School</w:t>
      </w:r>
      <w:r w:rsidR="00DA0176" w:rsidRPr="0003060E">
        <w:rPr>
          <w:rFonts w:cstheme="minorHAnsi"/>
        </w:rPr>
        <w:t>, 24 August 2023).</w:t>
      </w:r>
    </w:p>
  </w:footnote>
  <w:footnote w:id="105">
    <w:p w14:paraId="34ACD63B" w14:textId="47D3B28E" w:rsidR="00D2518D" w:rsidRPr="0003060E" w:rsidRDefault="00D2518D">
      <w:pPr>
        <w:pStyle w:val="FootnoteText"/>
        <w:rPr>
          <w:rFonts w:cstheme="minorHAnsi"/>
          <w:lang w:val="en-US"/>
        </w:rPr>
      </w:pPr>
      <w:r w:rsidRPr="0003060E">
        <w:rPr>
          <w:rStyle w:val="FootnoteReference"/>
          <w:rFonts w:cstheme="minorHAnsi"/>
        </w:rPr>
        <w:footnoteRef/>
      </w:r>
      <w:r w:rsidRPr="0003060E">
        <w:rPr>
          <w:rFonts w:cstheme="minorHAnsi"/>
        </w:rPr>
        <w:t xml:space="preserve"> </w:t>
      </w:r>
      <w:r w:rsidR="00820F7D" w:rsidRPr="0003060E">
        <w:rPr>
          <w:rFonts w:cstheme="minorHAnsi"/>
        </w:rPr>
        <w:t xml:space="preserve">Joongi </w:t>
      </w:r>
      <w:r w:rsidR="00820F7D" w:rsidRPr="0003060E">
        <w:rPr>
          <w:rFonts w:cstheme="minorHAnsi"/>
          <w:lang w:val="en-US"/>
        </w:rPr>
        <w:t>Kim, ‘</w:t>
      </w:r>
      <w:r w:rsidR="00DC7B0C" w:rsidRPr="0003060E">
        <w:rPr>
          <w:rFonts w:cstheme="minorHAnsi"/>
          <w:lang w:val="en-US"/>
        </w:rPr>
        <w:t>Might There Be a Future for Multi-tiered Di</w:t>
      </w:r>
      <w:r w:rsidR="00A529FC" w:rsidRPr="0003060E">
        <w:rPr>
          <w:rFonts w:cstheme="minorHAnsi"/>
          <w:lang w:val="en-US"/>
        </w:rPr>
        <w:t>sp</w:t>
      </w:r>
      <w:r w:rsidR="00DC7B0C" w:rsidRPr="0003060E">
        <w:rPr>
          <w:rFonts w:cstheme="minorHAnsi"/>
          <w:lang w:val="en-US"/>
        </w:rPr>
        <w:t xml:space="preserve">ute Resolution in Korea?’ in in Anselmo Reyes and Weixia Gu (eds), </w:t>
      </w:r>
      <w:r w:rsidR="00DC7B0C" w:rsidRPr="0003060E">
        <w:rPr>
          <w:rFonts w:cstheme="minorHAnsi"/>
          <w:i/>
          <w:iCs/>
          <w:lang w:val="en-US"/>
        </w:rPr>
        <w:t>Multi-Tier Approaches to the Resolution of International Disputes</w:t>
      </w:r>
      <w:r w:rsidR="00DC7B0C" w:rsidRPr="0003060E">
        <w:rPr>
          <w:rFonts w:cstheme="minorHAnsi"/>
          <w:lang w:val="en-US"/>
        </w:rPr>
        <w:t xml:space="preserve"> (Cambridge University Press, 2022) 161</w:t>
      </w:r>
      <w:r w:rsidR="00F94672" w:rsidRPr="0003060E">
        <w:rPr>
          <w:rFonts w:cstheme="minorHAnsi"/>
          <w:lang w:val="en-US"/>
        </w:rPr>
        <w:t xml:space="preserve">, 173 (Table 7.6, showing a gradual decline from 165 international </w:t>
      </w:r>
      <w:proofErr w:type="spellStart"/>
      <w:r w:rsidR="00F94672" w:rsidRPr="0003060E">
        <w:rPr>
          <w:rFonts w:cstheme="minorHAnsi"/>
          <w:i/>
          <w:iCs/>
          <w:lang w:val="en-US"/>
        </w:rPr>
        <w:t>alseon</w:t>
      </w:r>
      <w:proofErr w:type="spellEnd"/>
      <w:r w:rsidR="00F94672" w:rsidRPr="0003060E">
        <w:rPr>
          <w:rFonts w:cstheme="minorHAnsi"/>
          <w:i/>
          <w:iCs/>
          <w:lang w:val="en-US"/>
        </w:rPr>
        <w:t xml:space="preserve"> </w:t>
      </w:r>
      <w:r w:rsidR="00F94672" w:rsidRPr="0003060E">
        <w:rPr>
          <w:rFonts w:cstheme="minorHAnsi"/>
          <w:lang w:val="en-US"/>
        </w:rPr>
        <w:t xml:space="preserve">cases by KCAB in 2010, with </w:t>
      </w:r>
      <w:r w:rsidR="00DC7B0C" w:rsidRPr="0003060E">
        <w:rPr>
          <w:rFonts w:cstheme="minorHAnsi"/>
          <w:lang w:val="en-US"/>
        </w:rPr>
        <w:t xml:space="preserve">an uptick of </w:t>
      </w:r>
      <w:r w:rsidR="00F94672" w:rsidRPr="0003060E">
        <w:rPr>
          <w:rFonts w:cstheme="minorHAnsi"/>
          <w:lang w:val="en-US"/>
        </w:rPr>
        <w:t>137 in 2016, to 59 cases in 2019</w:t>
      </w:r>
      <w:r w:rsidR="00DC7B0C" w:rsidRPr="0003060E">
        <w:rPr>
          <w:rFonts w:cstheme="minorHAnsi"/>
          <w:lang w:val="en-US"/>
        </w:rPr>
        <w:t xml:space="preserve">). Kim remarks that </w:t>
      </w:r>
      <w:proofErr w:type="spellStart"/>
      <w:r w:rsidR="00DC7B0C" w:rsidRPr="0003060E">
        <w:rPr>
          <w:rFonts w:cstheme="minorHAnsi"/>
          <w:i/>
          <w:iCs/>
          <w:lang w:val="en-US"/>
        </w:rPr>
        <w:t>alseon</w:t>
      </w:r>
      <w:proofErr w:type="spellEnd"/>
      <w:r w:rsidR="00DC7B0C" w:rsidRPr="0003060E">
        <w:rPr>
          <w:rFonts w:cstheme="minorHAnsi"/>
          <w:i/>
          <w:iCs/>
          <w:lang w:val="en-US"/>
        </w:rPr>
        <w:t xml:space="preserve"> </w:t>
      </w:r>
      <w:r w:rsidR="00DC7B0C" w:rsidRPr="0003060E">
        <w:rPr>
          <w:rFonts w:cstheme="minorHAnsi"/>
          <w:lang w:val="en-US"/>
        </w:rPr>
        <w:t>‘is not based on any rules and is less structured’ than the (</w:t>
      </w:r>
      <w:r w:rsidR="00A529FC" w:rsidRPr="0003060E">
        <w:rPr>
          <w:rFonts w:cstheme="minorHAnsi"/>
          <w:lang w:val="en-US"/>
        </w:rPr>
        <w:t xml:space="preserve">still </w:t>
      </w:r>
      <w:r w:rsidR="00DC7B0C" w:rsidRPr="0003060E">
        <w:rPr>
          <w:rFonts w:cstheme="minorHAnsi"/>
          <w:lang w:val="en-US"/>
        </w:rPr>
        <w:t>rare) formal mediations administered by KCAB (ibid, 172).</w:t>
      </w:r>
    </w:p>
  </w:footnote>
  <w:footnote w:id="106">
    <w:p w14:paraId="33759A29" w14:textId="6ACAEF74" w:rsidR="000361AE" w:rsidRPr="0003060E" w:rsidRDefault="00F40773">
      <w:pPr>
        <w:pStyle w:val="FootnoteText"/>
        <w:rPr>
          <w:rFonts w:cstheme="minorHAnsi"/>
        </w:rPr>
      </w:pPr>
      <w:r w:rsidRPr="0003060E">
        <w:rPr>
          <w:rStyle w:val="FootnoteReference"/>
          <w:rFonts w:cstheme="minorHAnsi"/>
        </w:rPr>
        <w:footnoteRef/>
      </w:r>
      <w:r w:rsidRPr="0003060E">
        <w:rPr>
          <w:rFonts w:cstheme="minorHAnsi"/>
        </w:rPr>
        <w:t xml:space="preserve"> But see</w:t>
      </w:r>
      <w:r w:rsidR="000361AE" w:rsidRPr="0003060E">
        <w:rPr>
          <w:rFonts w:cstheme="minorHAnsi"/>
        </w:rPr>
        <w:t xml:space="preserve">, </w:t>
      </w:r>
      <w:proofErr w:type="spellStart"/>
      <w:r w:rsidR="000361AE" w:rsidRPr="0003060E">
        <w:rPr>
          <w:rFonts w:cstheme="minorHAnsi"/>
        </w:rPr>
        <w:t>eg</w:t>
      </w:r>
      <w:proofErr w:type="spellEnd"/>
      <w:r w:rsidR="000361AE" w:rsidRPr="0003060E">
        <w:rPr>
          <w:rFonts w:cstheme="minorHAnsi"/>
        </w:rPr>
        <w:t xml:space="preserve">, Luke Nottage, </w:t>
      </w:r>
      <w:r w:rsidR="000361AE" w:rsidRPr="0003060E">
        <w:rPr>
          <w:rFonts w:cstheme="minorHAnsi"/>
          <w:lang w:val="en-US"/>
        </w:rPr>
        <w:t xml:space="preserve">Micah </w:t>
      </w:r>
      <w:proofErr w:type="gramStart"/>
      <w:r w:rsidR="000361AE" w:rsidRPr="0003060E">
        <w:rPr>
          <w:rFonts w:cstheme="minorHAnsi"/>
          <w:lang w:val="en-US"/>
        </w:rPr>
        <w:t>Burch</w:t>
      </w:r>
      <w:proofErr w:type="gramEnd"/>
      <w:r w:rsidR="000361AE" w:rsidRPr="0003060E">
        <w:rPr>
          <w:rFonts w:cstheme="minorHAnsi"/>
          <w:lang w:val="en-US"/>
        </w:rPr>
        <w:t xml:space="preserve"> and Brett Williams</w:t>
      </w:r>
      <w:r w:rsidR="000361AE" w:rsidRPr="0003060E">
        <w:rPr>
          <w:rFonts w:cstheme="minorHAnsi"/>
        </w:rPr>
        <w:t>, ‘</w:t>
      </w:r>
      <w:r w:rsidR="000361AE" w:rsidRPr="0003060E">
        <w:rPr>
          <w:rFonts w:cstheme="minorHAnsi"/>
          <w:lang w:val="en-US"/>
        </w:rPr>
        <w:t>Appropriate Treaty-Based Dispute Resolution for Asia-Pacific Commerce in the 21</w:t>
      </w:r>
      <w:r w:rsidR="000361AE" w:rsidRPr="0003060E">
        <w:rPr>
          <w:rFonts w:cstheme="minorHAnsi"/>
          <w:vertAlign w:val="superscript"/>
          <w:lang w:val="en-US"/>
        </w:rPr>
        <w:t>st</w:t>
      </w:r>
      <w:r w:rsidR="000361AE" w:rsidRPr="0003060E">
        <w:rPr>
          <w:rFonts w:cstheme="minorHAnsi"/>
          <w:lang w:val="en-US"/>
        </w:rPr>
        <w:t xml:space="preserve"> Century’ (2012) 35(3) </w:t>
      </w:r>
      <w:r w:rsidR="000361AE" w:rsidRPr="0003060E">
        <w:rPr>
          <w:rFonts w:cstheme="minorHAnsi"/>
          <w:i/>
          <w:lang w:val="en-US"/>
        </w:rPr>
        <w:t xml:space="preserve">UNSW Law Journal </w:t>
      </w:r>
      <w:r w:rsidR="000361AE" w:rsidRPr="0003060E">
        <w:rPr>
          <w:rFonts w:cstheme="minorHAnsi"/>
          <w:lang w:val="en-US"/>
        </w:rPr>
        <w:t>1013</w:t>
      </w:r>
      <w:r w:rsidR="00850028" w:rsidRPr="0003060E">
        <w:rPr>
          <w:rFonts w:cstheme="minorHAnsi"/>
          <w:lang w:val="en-US"/>
        </w:rPr>
        <w:t>. Compare also, on some proactive steps that arbitrators could anyway try to take in ISA, Bottini et al (n 47) 275-6</w:t>
      </w:r>
      <w:r w:rsidR="000361AE" w:rsidRPr="0003060E">
        <w:rPr>
          <w:rFonts w:cstheme="minorHAnsi"/>
          <w:lang w:val="en-US"/>
        </w:rPr>
        <w:t>.</w:t>
      </w:r>
    </w:p>
  </w:footnote>
  <w:footnote w:id="107">
    <w:p w14:paraId="2D599B9D" w14:textId="0E9C2B38" w:rsidR="00F40773" w:rsidRPr="0003060E" w:rsidRDefault="00F40773">
      <w:pPr>
        <w:pStyle w:val="FootnoteText"/>
        <w:rPr>
          <w:rFonts w:cstheme="minorHAnsi"/>
        </w:rPr>
      </w:pPr>
      <w:r w:rsidRPr="0003060E">
        <w:rPr>
          <w:rStyle w:val="FootnoteReference"/>
          <w:rFonts w:cstheme="minorHAnsi"/>
        </w:rPr>
        <w:footnoteRef/>
      </w:r>
      <w:r w:rsidRPr="0003060E">
        <w:rPr>
          <w:rFonts w:cstheme="minorHAnsi"/>
        </w:rPr>
        <w:t xml:space="preserve"> See </w:t>
      </w:r>
      <w:r w:rsidR="00BA6354" w:rsidRPr="0003060E">
        <w:rPr>
          <w:rFonts w:cstheme="minorHAnsi"/>
        </w:rPr>
        <w:t xml:space="preserve">David Gaukrodger and Kathryn Gordon, </w:t>
      </w:r>
      <w:r w:rsidR="00575F28" w:rsidRPr="0003060E">
        <w:rPr>
          <w:rFonts w:cstheme="minorHAnsi"/>
          <w:i/>
          <w:iCs/>
        </w:rPr>
        <w:t>Investor-State Dispute Settlement</w:t>
      </w:r>
      <w:r w:rsidR="00BA6354" w:rsidRPr="0003060E">
        <w:rPr>
          <w:rFonts w:cstheme="minorHAnsi"/>
          <w:i/>
          <w:iCs/>
        </w:rPr>
        <w:t>: A</w:t>
      </w:r>
      <w:r w:rsidR="00575F28" w:rsidRPr="0003060E">
        <w:rPr>
          <w:rFonts w:cstheme="minorHAnsi"/>
          <w:i/>
          <w:iCs/>
        </w:rPr>
        <w:t xml:space="preserve"> Scoping Paper</w:t>
      </w:r>
      <w:r w:rsidR="00BA6354" w:rsidRPr="0003060E">
        <w:rPr>
          <w:rFonts w:cstheme="minorHAnsi"/>
          <w:i/>
          <w:iCs/>
        </w:rPr>
        <w:t xml:space="preserve"> for the Investment Policy Community </w:t>
      </w:r>
      <w:r w:rsidR="00227CA3" w:rsidRPr="0003060E">
        <w:rPr>
          <w:rFonts w:cstheme="minorHAnsi"/>
        </w:rPr>
        <w:t>(</w:t>
      </w:r>
      <w:r w:rsidR="00BA6354" w:rsidRPr="0003060E">
        <w:rPr>
          <w:rFonts w:cstheme="minorHAnsi"/>
        </w:rPr>
        <w:t>OECD Working Papers on International Investment 2012/03) 18 (Figure 1), available via &lt;</w:t>
      </w:r>
      <w:hyperlink r:id="rId40" w:history="1">
        <w:r w:rsidR="00BA6354" w:rsidRPr="0003060E">
          <w:rPr>
            <w:rStyle w:val="Hyperlink"/>
            <w:rFonts w:cstheme="minorHAnsi"/>
          </w:rPr>
          <w:t>https://www.oecd.org/investment/internationalinvestmentagreements/publicconsultationisds.htm</w:t>
        </w:r>
      </w:hyperlink>
      <w:r w:rsidR="00BA6354" w:rsidRPr="0003060E">
        <w:rPr>
          <w:rFonts w:cstheme="minorHAnsi"/>
        </w:rPr>
        <w:t>&gt;</w:t>
      </w:r>
      <w:r w:rsidR="003A3644" w:rsidRPr="0003060E">
        <w:rPr>
          <w:rFonts w:cstheme="minorHAnsi"/>
        </w:rPr>
        <w:t>.</w:t>
      </w:r>
    </w:p>
  </w:footnote>
  <w:footnote w:id="108">
    <w:p w14:paraId="0FBCEF66" w14:textId="702E44A8" w:rsidR="00F40773" w:rsidRPr="0003060E" w:rsidRDefault="00F40773">
      <w:pPr>
        <w:pStyle w:val="FootnoteText"/>
        <w:rPr>
          <w:rFonts w:cstheme="minorHAnsi"/>
        </w:rPr>
      </w:pPr>
      <w:r w:rsidRPr="0003060E">
        <w:rPr>
          <w:rStyle w:val="FootnoteReference"/>
          <w:rFonts w:cstheme="minorHAnsi"/>
        </w:rPr>
        <w:footnoteRef/>
      </w:r>
      <w:r w:rsidRPr="0003060E">
        <w:rPr>
          <w:rFonts w:cstheme="minorHAnsi"/>
        </w:rPr>
        <w:t xml:space="preserve"> See generally</w:t>
      </w:r>
      <w:r w:rsidR="002C6F3A" w:rsidRPr="0003060E">
        <w:rPr>
          <w:rFonts w:cstheme="minorHAnsi"/>
        </w:rPr>
        <w:t xml:space="preserve"> Weixia Gu, ‘</w:t>
      </w:r>
      <w:r w:rsidR="0006101F" w:rsidRPr="0003060E">
        <w:rPr>
          <w:rFonts w:cstheme="minorHAnsi"/>
        </w:rPr>
        <w:t xml:space="preserve">Mapping and </w:t>
      </w:r>
      <w:r w:rsidR="00990A09" w:rsidRPr="0003060E">
        <w:rPr>
          <w:rFonts w:cstheme="minorHAnsi"/>
        </w:rPr>
        <w:t>A</w:t>
      </w:r>
      <w:r w:rsidR="0006101F" w:rsidRPr="0003060E">
        <w:rPr>
          <w:rFonts w:cstheme="minorHAnsi"/>
        </w:rPr>
        <w:t xml:space="preserve">ssessing the </w:t>
      </w:r>
      <w:r w:rsidR="00990A09" w:rsidRPr="0003060E">
        <w:rPr>
          <w:rFonts w:cstheme="minorHAnsi"/>
        </w:rPr>
        <w:t>R</w:t>
      </w:r>
      <w:r w:rsidR="0006101F" w:rsidRPr="0003060E">
        <w:rPr>
          <w:rFonts w:cstheme="minorHAnsi"/>
        </w:rPr>
        <w:t xml:space="preserve">ise of </w:t>
      </w:r>
      <w:r w:rsidR="00990A09" w:rsidRPr="0003060E">
        <w:rPr>
          <w:rFonts w:cstheme="minorHAnsi"/>
        </w:rPr>
        <w:t>M</w:t>
      </w:r>
      <w:r w:rsidR="0006101F" w:rsidRPr="0003060E">
        <w:rPr>
          <w:rFonts w:cstheme="minorHAnsi"/>
        </w:rPr>
        <w:t xml:space="preserve">ulti-tiered </w:t>
      </w:r>
      <w:r w:rsidR="00990A09" w:rsidRPr="0003060E">
        <w:rPr>
          <w:rFonts w:cstheme="minorHAnsi"/>
        </w:rPr>
        <w:t>A</w:t>
      </w:r>
      <w:r w:rsidR="0006101F" w:rsidRPr="0003060E">
        <w:rPr>
          <w:rFonts w:cstheme="minorHAnsi"/>
        </w:rPr>
        <w:t xml:space="preserve">pproaches to the </w:t>
      </w:r>
      <w:r w:rsidR="00990A09" w:rsidRPr="0003060E">
        <w:rPr>
          <w:rFonts w:cstheme="minorHAnsi"/>
        </w:rPr>
        <w:t>R</w:t>
      </w:r>
      <w:r w:rsidR="0006101F" w:rsidRPr="0003060E">
        <w:rPr>
          <w:rFonts w:cstheme="minorHAnsi"/>
        </w:rPr>
        <w:t xml:space="preserve">esolution of </w:t>
      </w:r>
      <w:r w:rsidR="00990A09" w:rsidRPr="0003060E">
        <w:rPr>
          <w:rFonts w:cstheme="minorHAnsi"/>
        </w:rPr>
        <w:t>I</w:t>
      </w:r>
      <w:r w:rsidR="0006101F" w:rsidRPr="0003060E">
        <w:rPr>
          <w:rFonts w:cstheme="minorHAnsi"/>
        </w:rPr>
        <w:t xml:space="preserve">nternational </w:t>
      </w:r>
      <w:r w:rsidR="00990A09" w:rsidRPr="0003060E">
        <w:rPr>
          <w:rFonts w:cstheme="minorHAnsi"/>
        </w:rPr>
        <w:t>D</w:t>
      </w:r>
      <w:r w:rsidR="0006101F" w:rsidRPr="0003060E">
        <w:rPr>
          <w:rFonts w:cstheme="minorHAnsi"/>
        </w:rPr>
        <w:t xml:space="preserve">isputes </w:t>
      </w:r>
      <w:r w:rsidR="00990A09" w:rsidRPr="0003060E">
        <w:rPr>
          <w:rFonts w:cstheme="minorHAnsi"/>
        </w:rPr>
        <w:t>A</w:t>
      </w:r>
      <w:r w:rsidR="0006101F" w:rsidRPr="0003060E">
        <w:rPr>
          <w:rFonts w:cstheme="minorHAnsi"/>
        </w:rPr>
        <w:t xml:space="preserve">cross the </w:t>
      </w:r>
      <w:r w:rsidR="00990A09" w:rsidRPr="0003060E">
        <w:rPr>
          <w:rFonts w:cstheme="minorHAnsi"/>
        </w:rPr>
        <w:t>G</w:t>
      </w:r>
      <w:r w:rsidR="0006101F" w:rsidRPr="0003060E">
        <w:rPr>
          <w:rFonts w:cstheme="minorHAnsi"/>
        </w:rPr>
        <w:t xml:space="preserve">lobe: </w:t>
      </w:r>
      <w:r w:rsidR="00990A09" w:rsidRPr="0003060E">
        <w:rPr>
          <w:rFonts w:cstheme="minorHAnsi"/>
        </w:rPr>
        <w:t>A</w:t>
      </w:r>
      <w:r w:rsidR="0006101F" w:rsidRPr="0003060E">
        <w:rPr>
          <w:rFonts w:cstheme="minorHAnsi"/>
        </w:rPr>
        <w:t xml:space="preserve">n </w:t>
      </w:r>
      <w:r w:rsidR="00990A09" w:rsidRPr="0003060E">
        <w:rPr>
          <w:rFonts w:cstheme="minorHAnsi"/>
        </w:rPr>
        <w:t>I</w:t>
      </w:r>
      <w:r w:rsidR="0006101F" w:rsidRPr="0003060E">
        <w:rPr>
          <w:rFonts w:cstheme="minorHAnsi"/>
        </w:rPr>
        <w:t>ntroduction’</w:t>
      </w:r>
      <w:r w:rsidR="002C6F3A" w:rsidRPr="0003060E">
        <w:rPr>
          <w:rFonts w:cstheme="minorHAnsi"/>
        </w:rPr>
        <w:t xml:space="preserve"> </w:t>
      </w:r>
      <w:r w:rsidR="002C6F3A" w:rsidRPr="0003060E">
        <w:rPr>
          <w:rFonts w:cstheme="minorHAnsi"/>
          <w:lang w:val="en-US"/>
        </w:rPr>
        <w:t xml:space="preserve">in Anselmo Reyes and Weixia Gu (eds), </w:t>
      </w:r>
      <w:r w:rsidR="002C6F3A" w:rsidRPr="0003060E">
        <w:rPr>
          <w:rFonts w:cstheme="minorHAnsi"/>
          <w:i/>
          <w:iCs/>
          <w:lang w:val="en-US"/>
        </w:rPr>
        <w:t>Multi-Tier Approaches to the Resolution of International Disputes</w:t>
      </w:r>
      <w:r w:rsidR="002C6F3A" w:rsidRPr="0003060E">
        <w:rPr>
          <w:rFonts w:cstheme="minorHAnsi"/>
          <w:lang w:val="en-US"/>
        </w:rPr>
        <w:t xml:space="preserve"> (Cambridge University Press, 202</w:t>
      </w:r>
      <w:r w:rsidR="00BA6354" w:rsidRPr="0003060E">
        <w:rPr>
          <w:rFonts w:cstheme="minorHAnsi"/>
          <w:lang w:val="en-US"/>
        </w:rPr>
        <w:t>2</w:t>
      </w:r>
      <w:r w:rsidR="002C6F3A" w:rsidRPr="0003060E">
        <w:rPr>
          <w:rFonts w:cstheme="minorHAnsi"/>
          <w:lang w:val="en-US"/>
        </w:rPr>
        <w:t>)</w:t>
      </w:r>
      <w:r w:rsidR="00B05030" w:rsidRPr="0003060E">
        <w:rPr>
          <w:rFonts w:cstheme="minorHAnsi"/>
          <w:lang w:val="en-US"/>
        </w:rPr>
        <w:t xml:space="preserve"> 3</w:t>
      </w:r>
      <w:r w:rsidR="006E413D" w:rsidRPr="0003060E">
        <w:rPr>
          <w:rFonts w:cstheme="minorHAnsi"/>
          <w:lang w:val="en-US"/>
        </w:rPr>
        <w:t xml:space="preserve">; Hiro </w:t>
      </w:r>
      <w:proofErr w:type="spellStart"/>
      <w:r w:rsidR="006E413D" w:rsidRPr="0003060E">
        <w:rPr>
          <w:rFonts w:cstheme="minorHAnsi"/>
        </w:rPr>
        <w:t>Naraindas</w:t>
      </w:r>
      <w:proofErr w:type="spellEnd"/>
      <w:r w:rsidR="003A3644" w:rsidRPr="0003060E">
        <w:rPr>
          <w:rFonts w:cstheme="minorHAnsi"/>
          <w:lang w:val="en-US"/>
        </w:rPr>
        <w:t xml:space="preserve"> </w:t>
      </w:r>
      <w:r w:rsidR="006E413D" w:rsidRPr="0003060E">
        <w:rPr>
          <w:rFonts w:cstheme="minorHAnsi"/>
          <w:lang w:val="en-US"/>
        </w:rPr>
        <w:t>Aragaki</w:t>
      </w:r>
      <w:r w:rsidR="008E2D07" w:rsidRPr="0003060E">
        <w:rPr>
          <w:rFonts w:cstheme="minorHAnsi"/>
          <w:lang w:val="en-US"/>
        </w:rPr>
        <w:t xml:space="preserve">, ‘A </w:t>
      </w:r>
      <w:r w:rsidR="003A3644" w:rsidRPr="0003060E">
        <w:rPr>
          <w:rFonts w:cstheme="minorHAnsi"/>
          <w:lang w:val="en-US"/>
        </w:rPr>
        <w:t>S</w:t>
      </w:r>
      <w:r w:rsidR="008E2D07" w:rsidRPr="0003060E">
        <w:rPr>
          <w:rFonts w:cstheme="minorHAnsi"/>
          <w:lang w:val="en-US"/>
        </w:rPr>
        <w:t xml:space="preserve">napshot of </w:t>
      </w:r>
      <w:r w:rsidR="003A3644" w:rsidRPr="0003060E">
        <w:rPr>
          <w:rFonts w:cstheme="minorHAnsi"/>
          <w:lang w:val="en-US"/>
        </w:rPr>
        <w:t>N</w:t>
      </w:r>
      <w:r w:rsidR="008E2D07" w:rsidRPr="0003060E">
        <w:rPr>
          <w:rFonts w:cstheme="minorHAnsi"/>
          <w:lang w:val="en-US"/>
        </w:rPr>
        <w:t xml:space="preserve">ational </w:t>
      </w:r>
      <w:r w:rsidR="003A3644" w:rsidRPr="0003060E">
        <w:rPr>
          <w:rFonts w:cstheme="minorHAnsi"/>
          <w:lang w:val="en-US"/>
        </w:rPr>
        <w:t>L</w:t>
      </w:r>
      <w:r w:rsidR="008E2D07" w:rsidRPr="0003060E">
        <w:rPr>
          <w:rFonts w:cstheme="minorHAnsi"/>
          <w:lang w:val="en-US"/>
        </w:rPr>
        <w:t xml:space="preserve">egislation on </w:t>
      </w:r>
      <w:r w:rsidR="003A3644" w:rsidRPr="0003060E">
        <w:rPr>
          <w:rFonts w:cstheme="minorHAnsi"/>
          <w:lang w:val="en-US"/>
        </w:rPr>
        <w:t>S</w:t>
      </w:r>
      <w:r w:rsidR="008E2D07" w:rsidRPr="0003060E">
        <w:rPr>
          <w:rFonts w:cstheme="minorHAnsi"/>
          <w:lang w:val="en-US"/>
        </w:rPr>
        <w:t xml:space="preserve">ame </w:t>
      </w:r>
      <w:r w:rsidR="003A3644" w:rsidRPr="0003060E">
        <w:rPr>
          <w:rFonts w:cstheme="minorHAnsi"/>
          <w:lang w:val="en-US"/>
        </w:rPr>
        <w:t>N</w:t>
      </w:r>
      <w:r w:rsidR="008E2D07" w:rsidRPr="0003060E">
        <w:rPr>
          <w:rFonts w:cstheme="minorHAnsi"/>
          <w:lang w:val="en-US"/>
        </w:rPr>
        <w:t xml:space="preserve">eutral </w:t>
      </w:r>
      <w:r w:rsidR="003A3644" w:rsidRPr="0003060E">
        <w:rPr>
          <w:rFonts w:cstheme="minorHAnsi"/>
          <w:lang w:val="en-US"/>
        </w:rPr>
        <w:t>M</w:t>
      </w:r>
      <w:r w:rsidR="008E2D07" w:rsidRPr="0003060E">
        <w:rPr>
          <w:rFonts w:cstheme="minorHAnsi"/>
          <w:lang w:val="en-US"/>
        </w:rPr>
        <w:t xml:space="preserve">ed-arb and </w:t>
      </w:r>
      <w:r w:rsidR="003A3644" w:rsidRPr="0003060E">
        <w:rPr>
          <w:rFonts w:cstheme="minorHAnsi"/>
          <w:lang w:val="en-US"/>
        </w:rPr>
        <w:t>A</w:t>
      </w:r>
      <w:r w:rsidR="008E2D07" w:rsidRPr="0003060E">
        <w:rPr>
          <w:rFonts w:cstheme="minorHAnsi"/>
          <w:lang w:val="en-US"/>
        </w:rPr>
        <w:t xml:space="preserve">rb-med </w:t>
      </w:r>
      <w:r w:rsidR="003A3644" w:rsidRPr="0003060E">
        <w:rPr>
          <w:rFonts w:cstheme="minorHAnsi"/>
          <w:lang w:val="en-US"/>
        </w:rPr>
        <w:t>A</w:t>
      </w:r>
      <w:r w:rsidR="008E2D07" w:rsidRPr="0003060E">
        <w:rPr>
          <w:rFonts w:cstheme="minorHAnsi"/>
          <w:lang w:val="en-US"/>
        </w:rPr>
        <w:t xml:space="preserve">round the </w:t>
      </w:r>
      <w:r w:rsidR="003A3644" w:rsidRPr="0003060E">
        <w:rPr>
          <w:rFonts w:cstheme="minorHAnsi"/>
          <w:lang w:val="en-US"/>
        </w:rPr>
        <w:t>G</w:t>
      </w:r>
      <w:r w:rsidR="008E2D07" w:rsidRPr="0003060E">
        <w:rPr>
          <w:rFonts w:cstheme="minorHAnsi"/>
          <w:lang w:val="en-US"/>
        </w:rPr>
        <w:t xml:space="preserve">lobe’ </w:t>
      </w:r>
      <w:r w:rsidR="00BD6470" w:rsidRPr="0003060E">
        <w:rPr>
          <w:rFonts w:cstheme="minorHAnsi"/>
          <w:lang w:val="en-US"/>
        </w:rPr>
        <w:t xml:space="preserve">in Anselmo Reyes and Weixia Gu (eds), </w:t>
      </w:r>
      <w:r w:rsidR="00BD6470" w:rsidRPr="0003060E">
        <w:rPr>
          <w:rFonts w:cstheme="minorHAnsi"/>
          <w:i/>
          <w:iCs/>
          <w:lang w:val="en-US"/>
        </w:rPr>
        <w:t>Multi-Tier Approaches to the Resolution of International Disputes</w:t>
      </w:r>
      <w:r w:rsidR="00BD6470" w:rsidRPr="0003060E">
        <w:rPr>
          <w:rFonts w:cstheme="minorHAnsi"/>
          <w:lang w:val="en-US"/>
        </w:rPr>
        <w:t xml:space="preserve"> (Cambridge University Press, 202</w:t>
      </w:r>
      <w:r w:rsidR="00BA6354" w:rsidRPr="0003060E">
        <w:rPr>
          <w:rFonts w:cstheme="minorHAnsi"/>
          <w:lang w:val="en-US"/>
        </w:rPr>
        <w:t>2</w:t>
      </w:r>
      <w:r w:rsidR="00BD6470" w:rsidRPr="0003060E">
        <w:rPr>
          <w:rFonts w:cstheme="minorHAnsi"/>
          <w:lang w:val="en-US"/>
        </w:rPr>
        <w:t>)</w:t>
      </w:r>
      <w:r w:rsidR="001816D2" w:rsidRPr="0003060E">
        <w:rPr>
          <w:rFonts w:cstheme="minorHAnsi"/>
          <w:lang w:val="en-US"/>
        </w:rPr>
        <w:t xml:space="preserve"> 25</w:t>
      </w:r>
      <w:r w:rsidR="00997E55" w:rsidRPr="0003060E">
        <w:rPr>
          <w:rFonts w:cstheme="minorHAnsi"/>
        </w:rPr>
        <w:t>.</w:t>
      </w:r>
      <w:r w:rsidR="002F1A0B" w:rsidRPr="0003060E">
        <w:rPr>
          <w:rStyle w:val="layout-fill"/>
          <w:rFonts w:cstheme="minorHAnsi"/>
        </w:rPr>
        <w:t xml:space="preserve"> </w:t>
      </w:r>
    </w:p>
  </w:footnote>
  <w:footnote w:id="109">
    <w:p w14:paraId="405BF9CF" w14:textId="75C2C6B2" w:rsidR="00F40773" w:rsidRPr="0003060E" w:rsidRDefault="00F40773">
      <w:pPr>
        <w:pStyle w:val="FootnoteText"/>
        <w:rPr>
          <w:rFonts w:cstheme="minorHAnsi"/>
        </w:rPr>
      </w:pPr>
      <w:r w:rsidRPr="0003060E">
        <w:rPr>
          <w:rStyle w:val="FootnoteReference"/>
          <w:rFonts w:cstheme="minorHAnsi"/>
        </w:rPr>
        <w:footnoteRef/>
      </w:r>
      <w:r w:rsidRPr="0003060E">
        <w:rPr>
          <w:rFonts w:cstheme="minorHAnsi"/>
        </w:rPr>
        <w:t xml:space="preserve"> </w:t>
      </w:r>
      <w:r w:rsidR="007B6C52" w:rsidRPr="0003060E">
        <w:rPr>
          <w:rFonts w:cstheme="minorHAnsi"/>
        </w:rPr>
        <w:t>Q</w:t>
      </w:r>
      <w:r w:rsidR="00DA631E" w:rsidRPr="0003060E">
        <w:rPr>
          <w:rFonts w:cstheme="minorHAnsi"/>
        </w:rPr>
        <w:t>ueen Mary University of London</w:t>
      </w:r>
      <w:r w:rsidR="00985189" w:rsidRPr="0003060E">
        <w:rPr>
          <w:rFonts w:cstheme="minorHAnsi"/>
        </w:rPr>
        <w:t xml:space="preserve"> and Price Waterhouse Coopers</w:t>
      </w:r>
      <w:r w:rsidR="00DA631E" w:rsidRPr="0003060E">
        <w:rPr>
          <w:rFonts w:cstheme="minorHAnsi"/>
        </w:rPr>
        <w:t xml:space="preserve">, </w:t>
      </w:r>
      <w:r w:rsidR="00373FB7" w:rsidRPr="0003060E">
        <w:rPr>
          <w:rFonts w:cstheme="minorHAnsi"/>
          <w:i/>
          <w:iCs/>
        </w:rPr>
        <w:t xml:space="preserve">International Arbitration: </w:t>
      </w:r>
      <w:r w:rsidR="00DA631E" w:rsidRPr="0003060E">
        <w:rPr>
          <w:rFonts w:cstheme="minorHAnsi"/>
          <w:i/>
          <w:iCs/>
        </w:rPr>
        <w:t>2006 Corporate Attitudes and Practices</w:t>
      </w:r>
      <w:r w:rsidR="0033412D" w:rsidRPr="0003060E">
        <w:rPr>
          <w:rFonts w:cstheme="minorHAnsi"/>
        </w:rPr>
        <w:t xml:space="preserve"> (Report, 2006) 5</w:t>
      </w:r>
      <w:r w:rsidR="00A25DEB" w:rsidRPr="0003060E">
        <w:rPr>
          <w:rFonts w:cstheme="minorHAnsi"/>
        </w:rPr>
        <w:t xml:space="preserve"> &lt;</w:t>
      </w:r>
      <w:hyperlink r:id="rId41" w:history="1">
        <w:r w:rsidR="003A3644" w:rsidRPr="0003060E">
          <w:rPr>
            <w:rStyle w:val="Hyperlink"/>
            <w:rFonts w:cstheme="minorHAnsi"/>
          </w:rPr>
          <w:t>https://arbitration.qmul.ac.uk/media/arbitration/docs/IAstudy_2006.pdf</w:t>
        </w:r>
      </w:hyperlink>
      <w:r w:rsidR="00A25DEB" w:rsidRPr="0003060E">
        <w:rPr>
          <w:rFonts w:cstheme="minorHAnsi"/>
        </w:rPr>
        <w:t>&gt;</w:t>
      </w:r>
      <w:r w:rsidR="0033412D" w:rsidRPr="0003060E">
        <w:rPr>
          <w:rFonts w:cstheme="minorHAnsi"/>
        </w:rPr>
        <w:t>.</w:t>
      </w:r>
      <w:r w:rsidR="006B4AA0" w:rsidRPr="0003060E">
        <w:rPr>
          <w:rFonts w:cstheme="minorHAnsi"/>
        </w:rPr>
        <w:t xml:space="preserve"> </w:t>
      </w:r>
      <w:r w:rsidR="007B6C52" w:rsidRPr="0003060E">
        <w:rPr>
          <w:rFonts w:cstheme="minorHAnsi"/>
        </w:rPr>
        <w:t>Other preferences were international mediation and other ADR (16% of respondents) and transnational litigation (11%).</w:t>
      </w:r>
    </w:p>
  </w:footnote>
  <w:footnote w:id="110">
    <w:p w14:paraId="1E60F0F1" w14:textId="7CBA3669" w:rsidR="007B6C52" w:rsidRPr="0003060E" w:rsidRDefault="007B6C52">
      <w:pPr>
        <w:pStyle w:val="FootnoteText"/>
        <w:rPr>
          <w:rFonts w:cstheme="minorHAnsi"/>
        </w:rPr>
      </w:pPr>
      <w:r w:rsidRPr="0003060E">
        <w:rPr>
          <w:rStyle w:val="FootnoteReference"/>
          <w:rFonts w:cstheme="minorHAnsi"/>
        </w:rPr>
        <w:footnoteRef/>
      </w:r>
      <w:r w:rsidRPr="0003060E">
        <w:rPr>
          <w:rFonts w:cstheme="minorHAnsi"/>
        </w:rPr>
        <w:t xml:space="preserve"> </w:t>
      </w:r>
      <w:r w:rsidR="006B4AA0" w:rsidRPr="0003060E">
        <w:rPr>
          <w:rFonts w:cstheme="minorHAnsi"/>
        </w:rPr>
        <w:t>Queen Mary University of London</w:t>
      </w:r>
      <w:r w:rsidR="004178F3" w:rsidRPr="0003060E">
        <w:rPr>
          <w:rFonts w:cstheme="minorHAnsi"/>
        </w:rPr>
        <w:t xml:space="preserve"> and White &amp; Case</w:t>
      </w:r>
      <w:r w:rsidR="006B4AA0" w:rsidRPr="0003060E">
        <w:rPr>
          <w:rFonts w:cstheme="minorHAnsi"/>
        </w:rPr>
        <w:t xml:space="preserve">, </w:t>
      </w:r>
      <w:r w:rsidR="006B4AA0" w:rsidRPr="0003060E">
        <w:rPr>
          <w:rFonts w:cstheme="minorHAnsi"/>
          <w:i/>
          <w:iCs/>
        </w:rPr>
        <w:t>2021 International Arbitration Survey: Adapting Arbitration to a Changing World</w:t>
      </w:r>
      <w:r w:rsidR="00C8266F" w:rsidRPr="0003060E">
        <w:rPr>
          <w:rFonts w:cstheme="minorHAnsi"/>
        </w:rPr>
        <w:t xml:space="preserve"> (Report, 2021) 6 &lt;</w:t>
      </w:r>
      <w:hyperlink r:id="rId42" w:history="1">
        <w:r w:rsidR="00C8266F" w:rsidRPr="0003060E">
          <w:rPr>
            <w:rStyle w:val="Hyperlink"/>
            <w:rFonts w:cstheme="minorHAnsi"/>
          </w:rPr>
          <w:t>https://arbitration.qmul.ac.uk/research/2021-international-arbitration-survey/</w:t>
        </w:r>
      </w:hyperlink>
      <w:r w:rsidR="00C8266F" w:rsidRPr="0003060E">
        <w:rPr>
          <w:rFonts w:cstheme="minorHAnsi"/>
        </w:rPr>
        <w:t>&gt;.</w:t>
      </w:r>
      <w:r w:rsidR="00316AEE" w:rsidRPr="0003060E">
        <w:rPr>
          <w:rFonts w:cstheme="minorHAnsi"/>
        </w:rPr>
        <w:t xml:space="preserve"> </w:t>
      </w:r>
      <w:r w:rsidRPr="0003060E">
        <w:rPr>
          <w:rFonts w:cstheme="minorHAnsi"/>
        </w:rPr>
        <w:t>Other preferences were ADR only or litigation only (2% each) and litigation combined with ADR (6%).</w:t>
      </w:r>
    </w:p>
  </w:footnote>
  <w:footnote w:id="111">
    <w:p w14:paraId="7FCD18E0" w14:textId="7B3DCF7A" w:rsidR="008041F2" w:rsidRPr="0003060E" w:rsidRDefault="008041F2">
      <w:pPr>
        <w:pStyle w:val="FootnoteText"/>
        <w:rPr>
          <w:rFonts w:cstheme="minorHAnsi"/>
        </w:rPr>
      </w:pPr>
      <w:r w:rsidRPr="0003060E">
        <w:rPr>
          <w:rStyle w:val="FootnoteReference"/>
          <w:rFonts w:cstheme="minorHAnsi"/>
        </w:rPr>
        <w:footnoteRef/>
      </w:r>
      <w:r w:rsidRPr="0003060E">
        <w:rPr>
          <w:rFonts w:cstheme="minorHAnsi"/>
        </w:rPr>
        <w:t xml:space="preserve"> For example, Dispute Avoidance Board provisions now appear widespread in major infrastructure projects involving the New South Wales government (but perhaps less so for other state governments). Courts are also helping governments to use more ADR, for example by recently dismissing an objection that mediation would not serve the public interest. See </w:t>
      </w:r>
      <w:r w:rsidRPr="0003060E">
        <w:rPr>
          <w:rFonts w:cstheme="minorHAnsi"/>
          <w:i/>
          <w:iCs/>
        </w:rPr>
        <w:t>Aversa v Transport for New South Wales (No 2)</w:t>
      </w:r>
      <w:r w:rsidRPr="0003060E">
        <w:rPr>
          <w:rFonts w:cstheme="minorHAnsi"/>
        </w:rPr>
        <w:t xml:space="preserve"> [2023] NSWSC 892, discussed by Alan </w:t>
      </w:r>
      <w:proofErr w:type="spellStart"/>
      <w:r w:rsidRPr="0003060E">
        <w:rPr>
          <w:rFonts w:cstheme="minorHAnsi"/>
        </w:rPr>
        <w:t>Limbury</w:t>
      </w:r>
      <w:proofErr w:type="spellEnd"/>
      <w:r w:rsidRPr="0003060E">
        <w:rPr>
          <w:rFonts w:cstheme="minorHAnsi"/>
        </w:rPr>
        <w:t xml:space="preserve">, </w:t>
      </w:r>
      <w:r w:rsidR="002F178A" w:rsidRPr="0003060E">
        <w:rPr>
          <w:rFonts w:cstheme="minorHAnsi"/>
        </w:rPr>
        <w:t>‘Court-ordered Mediation – Some Australian Developments’</w:t>
      </w:r>
      <w:r w:rsidRPr="0003060E">
        <w:rPr>
          <w:rFonts w:cstheme="minorHAnsi"/>
        </w:rPr>
        <w:t xml:space="preserve"> Kluwer Mediation Blog </w:t>
      </w:r>
      <w:r w:rsidR="00C90374" w:rsidRPr="0003060E">
        <w:rPr>
          <w:rFonts w:cstheme="minorHAnsi"/>
        </w:rPr>
        <w:t>(</w:t>
      </w:r>
      <w:proofErr w:type="spellStart"/>
      <w:r w:rsidR="00C90374" w:rsidRPr="0003060E">
        <w:rPr>
          <w:rFonts w:cstheme="minorHAnsi"/>
        </w:rPr>
        <w:t>Bloig</w:t>
      </w:r>
      <w:proofErr w:type="spellEnd"/>
      <w:r w:rsidR="00C90374" w:rsidRPr="0003060E">
        <w:rPr>
          <w:rFonts w:cstheme="minorHAnsi"/>
        </w:rPr>
        <w:t xml:space="preserve"> Post, 22 October 2023) </w:t>
      </w:r>
      <w:r w:rsidRPr="0003060E">
        <w:rPr>
          <w:rFonts w:cstheme="minorHAnsi"/>
        </w:rPr>
        <w:t>&lt;</w:t>
      </w:r>
      <w:r w:rsidR="002F178A" w:rsidRPr="0003060E">
        <w:rPr>
          <w:rFonts w:cstheme="minorHAnsi"/>
        </w:rPr>
        <w:t>https://mediationblog.kluwerarbitration.com/2023/10/22/court-ordered-mediation-some-australian-developments/</w:t>
      </w:r>
      <w:r w:rsidRPr="0003060E">
        <w:rPr>
          <w:rFonts w:cstheme="minorHAnsi"/>
        </w:rPr>
        <w:t>&gt;</w:t>
      </w:r>
      <w:r w:rsidR="00C90374" w:rsidRPr="0003060E">
        <w:rPr>
          <w:rFonts w:cstheme="minorHAnsi"/>
        </w:rPr>
        <w:t>.</w:t>
      </w:r>
    </w:p>
  </w:footnote>
  <w:footnote w:id="112">
    <w:p w14:paraId="0C3B8207" w14:textId="4ECE416E" w:rsidR="00420529" w:rsidRPr="0003060E" w:rsidRDefault="00420529" w:rsidP="00420529">
      <w:pPr>
        <w:pStyle w:val="FootnoteText"/>
        <w:rPr>
          <w:rFonts w:cstheme="minorHAnsi"/>
        </w:rPr>
      </w:pPr>
      <w:r w:rsidRPr="0003060E">
        <w:rPr>
          <w:rStyle w:val="FootnoteReference"/>
          <w:rFonts w:cstheme="minorHAnsi"/>
        </w:rPr>
        <w:footnoteRef/>
      </w:r>
      <w:r w:rsidRPr="0003060E">
        <w:rPr>
          <w:rFonts w:cstheme="minorHAnsi"/>
        </w:rPr>
        <w:t xml:space="preserve"> ICC, n </w:t>
      </w:r>
      <w:r w:rsidR="00912AF4" w:rsidRPr="0003060E">
        <w:rPr>
          <w:rFonts w:cstheme="minorHAnsi"/>
        </w:rPr>
        <w:t>50</w:t>
      </w:r>
      <w:r w:rsidRPr="0003060E">
        <w:rPr>
          <w:rFonts w:cstheme="minorHAnsi"/>
        </w:rPr>
        <w:t xml:space="preserve">, 11. However, it observes that the March 2021 introduction </w:t>
      </w:r>
      <w:r w:rsidRPr="0003060E">
        <w:rPr>
          <w:rFonts w:cstheme="minorHAnsi"/>
          <w:color w:val="000000"/>
        </w:rPr>
        <w:t>of concurrent mediation into I</w:t>
      </w:r>
      <w:r w:rsidR="00912AF4" w:rsidRPr="0003060E">
        <w:rPr>
          <w:rFonts w:cstheme="minorHAnsi"/>
          <w:color w:val="000000"/>
        </w:rPr>
        <w:t>nternational Centre for Dispute Resolution</w:t>
      </w:r>
      <w:r w:rsidRPr="0003060E">
        <w:rPr>
          <w:rFonts w:cstheme="minorHAnsi"/>
          <w:color w:val="000000"/>
        </w:rPr>
        <w:t xml:space="preserve"> arbitration seems so far to be associated with parties</w:t>
      </w:r>
      <w:r w:rsidR="00912AF4" w:rsidRPr="0003060E">
        <w:rPr>
          <w:rFonts w:cstheme="minorHAnsi"/>
          <w:color w:val="000000"/>
        </w:rPr>
        <w:t xml:space="preserve"> mostly</w:t>
      </w:r>
      <w:r w:rsidRPr="0003060E">
        <w:rPr>
          <w:rFonts w:cstheme="minorHAnsi"/>
          <w:color w:val="000000"/>
        </w:rPr>
        <w:t xml:space="preserve"> choosing to opt out of this innovation.</w:t>
      </w:r>
    </w:p>
  </w:footnote>
  <w:footnote w:id="113">
    <w:p w14:paraId="47BA0F69" w14:textId="7E5CE6C3" w:rsidR="00420529" w:rsidRPr="0003060E" w:rsidRDefault="00420529">
      <w:pPr>
        <w:pStyle w:val="FootnoteText"/>
        <w:rPr>
          <w:rFonts w:cstheme="minorHAnsi"/>
        </w:rPr>
      </w:pPr>
      <w:r w:rsidRPr="0003060E">
        <w:rPr>
          <w:rStyle w:val="FootnoteReference"/>
          <w:rFonts w:cstheme="minorHAnsi"/>
        </w:rPr>
        <w:footnoteRef/>
      </w:r>
      <w:r w:rsidRPr="0003060E">
        <w:rPr>
          <w:rFonts w:cstheme="minorHAnsi"/>
        </w:rPr>
        <w:t xml:space="preserve"> I am grateful for one commentator on an earlier draft suggesting that a practice is emerging of “running </w:t>
      </w:r>
      <w:proofErr w:type="spellStart"/>
      <w:r w:rsidRPr="0003060E">
        <w:rPr>
          <w:rFonts w:cstheme="minorHAnsi"/>
        </w:rPr>
        <w:t>medtations</w:t>
      </w:r>
      <w:proofErr w:type="spellEnd"/>
      <w:r w:rsidRPr="0003060E">
        <w:rPr>
          <w:rFonts w:cstheme="minorHAnsi"/>
        </w:rPr>
        <w:t xml:space="preserve">”, viewed as an ongoing process </w:t>
      </w:r>
      <w:r w:rsidRPr="0003060E">
        <w:rPr>
          <w:rStyle w:val="im"/>
          <w:rFonts w:cstheme="minorHAnsi"/>
        </w:rPr>
        <w:t xml:space="preserve">rather than an event, aimed at avoiding the costs and delays of arbitration as well as litigation. </w:t>
      </w:r>
      <w:r w:rsidR="00912AF4" w:rsidRPr="0003060E">
        <w:rPr>
          <w:rStyle w:val="im"/>
          <w:rFonts w:cstheme="minorHAnsi"/>
        </w:rPr>
        <w:t>Compare also the</w:t>
      </w:r>
      <w:r w:rsidRPr="0003060E">
        <w:rPr>
          <w:rStyle w:val="im"/>
          <w:rFonts w:cstheme="minorHAnsi"/>
        </w:rPr>
        <w:t xml:space="preserve"> </w:t>
      </w:r>
      <w:r w:rsidR="00912AF4" w:rsidRPr="0003060E">
        <w:rPr>
          <w:rStyle w:val="im"/>
          <w:rFonts w:cstheme="minorHAnsi"/>
        </w:rPr>
        <w:t>fascinating</w:t>
      </w:r>
      <w:r w:rsidRPr="0003060E">
        <w:rPr>
          <w:rStyle w:val="im"/>
          <w:rFonts w:cstheme="minorHAnsi"/>
        </w:rPr>
        <w:t xml:space="preserve"> </w:t>
      </w:r>
      <w:r w:rsidR="00912AF4" w:rsidRPr="0003060E">
        <w:rPr>
          <w:rStyle w:val="im"/>
          <w:rFonts w:cstheme="minorHAnsi"/>
        </w:rPr>
        <w:t xml:space="preserve">but still very unusual </w:t>
      </w:r>
      <w:r w:rsidRPr="0003060E">
        <w:rPr>
          <w:rStyle w:val="im"/>
          <w:rFonts w:cstheme="minorHAnsi"/>
        </w:rPr>
        <w:t>example of a cross-border arbitration turning into an ongoing mediation</w:t>
      </w:r>
      <w:r w:rsidR="00912AF4" w:rsidRPr="0003060E">
        <w:rPr>
          <w:rStyle w:val="im"/>
          <w:rFonts w:cstheme="minorHAnsi"/>
        </w:rPr>
        <w:t xml:space="preserve"> process,</w:t>
      </w:r>
      <w:r w:rsidRPr="0003060E">
        <w:rPr>
          <w:rStyle w:val="im"/>
          <w:rFonts w:cstheme="minorHAnsi"/>
        </w:rPr>
        <w:t xml:space="preserve"> to</w:t>
      </w:r>
      <w:r w:rsidR="00912AF4" w:rsidRPr="0003060E">
        <w:rPr>
          <w:rStyle w:val="im"/>
          <w:rFonts w:cstheme="minorHAnsi"/>
        </w:rPr>
        <w:t xml:space="preserve"> avoid and</w:t>
      </w:r>
      <w:r w:rsidRPr="0003060E">
        <w:rPr>
          <w:rStyle w:val="im"/>
          <w:rFonts w:cstheme="minorHAnsi"/>
        </w:rPr>
        <w:t xml:space="preserve"> manage ongoing disputes</w:t>
      </w:r>
      <w:r w:rsidR="00912AF4" w:rsidRPr="0003060E">
        <w:rPr>
          <w:rStyle w:val="im"/>
          <w:rFonts w:cstheme="minorHAnsi"/>
        </w:rPr>
        <w:t xml:space="preserve"> (involving Harvard Professor Robert Mnookin)</w:t>
      </w:r>
      <w:r w:rsidRPr="0003060E">
        <w:rPr>
          <w:rStyle w:val="im"/>
          <w:rFonts w:cstheme="minorHAnsi"/>
        </w:rPr>
        <w:t xml:space="preserve">, see also </w:t>
      </w:r>
      <w:hyperlink r:id="rId43" w:history="1">
        <w:r w:rsidRPr="0003060E">
          <w:rPr>
            <w:rStyle w:val="Hyperlink"/>
            <w:rFonts w:cstheme="minorHAnsi"/>
            <w:color w:val="auto"/>
            <w:u w:val="none"/>
          </w:rPr>
          <w:t xml:space="preserve">Christian </w:t>
        </w:r>
        <w:proofErr w:type="spellStart"/>
        <w:r w:rsidRPr="0003060E">
          <w:rPr>
            <w:rStyle w:val="Hyperlink"/>
            <w:rFonts w:cstheme="minorHAnsi"/>
            <w:color w:val="auto"/>
            <w:u w:val="none"/>
          </w:rPr>
          <w:t>Bühring</w:t>
        </w:r>
        <w:proofErr w:type="spellEnd"/>
        <w:r w:rsidRPr="0003060E">
          <w:rPr>
            <w:rStyle w:val="Hyperlink"/>
            <w:rFonts w:cstheme="minorHAnsi"/>
            <w:color w:val="auto"/>
            <w:u w:val="none"/>
          </w:rPr>
          <w:t>-Uhle</w:t>
        </w:r>
      </w:hyperlink>
      <w:r w:rsidRPr="0003060E">
        <w:rPr>
          <w:rFonts w:cstheme="minorHAnsi"/>
        </w:rPr>
        <w:t xml:space="preserve"> ‘The IBM – Fujitsu Arbitration: A Landmark in Innovative Dispute Resolution’ </w:t>
      </w:r>
      <w:r w:rsidR="00912AF4" w:rsidRPr="0003060E">
        <w:rPr>
          <w:rFonts w:cstheme="minorHAnsi"/>
        </w:rPr>
        <w:t xml:space="preserve">(1991) 2 </w:t>
      </w:r>
      <w:r w:rsidR="00912AF4" w:rsidRPr="0003060E">
        <w:rPr>
          <w:rFonts w:cstheme="minorHAnsi"/>
          <w:i/>
          <w:iCs/>
        </w:rPr>
        <w:t xml:space="preserve">American Review of International Arbitration </w:t>
      </w:r>
      <w:r w:rsidR="00912AF4" w:rsidRPr="0003060E">
        <w:rPr>
          <w:rFonts w:cstheme="minorHAnsi"/>
        </w:rPr>
        <w:t>8.</w:t>
      </w:r>
    </w:p>
  </w:footnote>
  <w:footnote w:id="114">
    <w:p w14:paraId="3CB5FBFF" w14:textId="4C203097" w:rsidR="008F67A5" w:rsidRPr="0003060E" w:rsidRDefault="008F67A5">
      <w:pPr>
        <w:pStyle w:val="FootnoteText"/>
        <w:rPr>
          <w:rFonts w:cstheme="minorHAnsi"/>
        </w:rPr>
      </w:pPr>
      <w:r w:rsidRPr="0003060E">
        <w:rPr>
          <w:rStyle w:val="FootnoteReference"/>
          <w:rFonts w:cstheme="minorHAnsi"/>
        </w:rPr>
        <w:footnoteRef/>
      </w:r>
      <w:r w:rsidRPr="0003060E">
        <w:rPr>
          <w:rFonts w:cstheme="minorHAnsi"/>
        </w:rPr>
        <w:t xml:space="preserve"> See generally</w:t>
      </w:r>
      <w:r w:rsidR="00A97984" w:rsidRPr="0003060E">
        <w:rPr>
          <w:rFonts w:cstheme="minorHAnsi"/>
        </w:rPr>
        <w:t>,</w:t>
      </w:r>
      <w:r w:rsidRPr="0003060E">
        <w:rPr>
          <w:rFonts w:cstheme="minorHAnsi"/>
        </w:rPr>
        <w:t xml:space="preserve"> </w:t>
      </w:r>
      <w:proofErr w:type="spellStart"/>
      <w:r w:rsidRPr="0003060E">
        <w:rPr>
          <w:rFonts w:cstheme="minorHAnsi"/>
        </w:rPr>
        <w:t>eg</w:t>
      </w:r>
      <w:proofErr w:type="spellEnd"/>
      <w:r w:rsidR="00A97984" w:rsidRPr="0003060E">
        <w:rPr>
          <w:rFonts w:cstheme="minorHAnsi"/>
        </w:rPr>
        <w:t>,</w:t>
      </w:r>
      <w:r w:rsidRPr="0003060E">
        <w:rPr>
          <w:rFonts w:cstheme="minorHAnsi"/>
        </w:rPr>
        <w:t xml:space="preserve"> on the last two</w:t>
      </w:r>
      <w:r w:rsidR="003A3644" w:rsidRPr="0003060E">
        <w:rPr>
          <w:rFonts w:cstheme="minorHAnsi"/>
        </w:rPr>
        <w:t xml:space="preserve"> jurisdictions</w:t>
      </w:r>
      <w:r w:rsidRPr="0003060E">
        <w:rPr>
          <w:rFonts w:cstheme="minorHAnsi"/>
        </w:rPr>
        <w:t>, Nad</w:t>
      </w:r>
      <w:r w:rsidR="001F57DA" w:rsidRPr="0003060E">
        <w:rPr>
          <w:rFonts w:cstheme="minorHAnsi"/>
        </w:rPr>
        <w:t>j</w:t>
      </w:r>
      <w:r w:rsidRPr="0003060E">
        <w:rPr>
          <w:rFonts w:cstheme="minorHAnsi"/>
        </w:rPr>
        <w:t>a Alexander</w:t>
      </w:r>
      <w:r w:rsidR="00257344" w:rsidRPr="0003060E">
        <w:rPr>
          <w:rFonts w:cstheme="minorHAnsi"/>
        </w:rPr>
        <w:t>, ‘The Emergence of Mediation in Asia: A Tale of Two Cities’</w:t>
      </w:r>
      <w:r w:rsidR="007C0A17" w:rsidRPr="0003060E">
        <w:rPr>
          <w:rFonts w:cstheme="minorHAnsi"/>
        </w:rPr>
        <w:t xml:space="preserve">, </w:t>
      </w:r>
      <w:r w:rsidR="00125B01" w:rsidRPr="0003060E">
        <w:rPr>
          <w:rFonts w:cstheme="minorHAnsi"/>
          <w:i/>
          <w:iCs/>
        </w:rPr>
        <w:t>Transnational Dispute Management</w:t>
      </w:r>
      <w:r w:rsidR="00125B01" w:rsidRPr="0003060E">
        <w:rPr>
          <w:rFonts w:cstheme="minorHAnsi"/>
        </w:rPr>
        <w:t xml:space="preserve"> (Online Article, 2021) &lt;https://www.transnational-dispute-management.com/article.asp?key=2836</w:t>
      </w:r>
      <w:r w:rsidR="00125B01" w:rsidRPr="0003060E">
        <w:rPr>
          <w:rStyle w:val="Hyperlink"/>
          <w:rFonts w:cstheme="minorHAnsi"/>
          <w:color w:val="000000" w:themeColor="text1"/>
          <w:u w:val="none"/>
        </w:rPr>
        <w:t>&gt;.</w:t>
      </w:r>
    </w:p>
  </w:footnote>
  <w:footnote w:id="115">
    <w:p w14:paraId="011962FE" w14:textId="23CF6854" w:rsidR="008F67A5" w:rsidRPr="0003060E" w:rsidRDefault="008F67A5">
      <w:pPr>
        <w:pStyle w:val="FootnoteText"/>
        <w:rPr>
          <w:rFonts w:cstheme="minorHAnsi"/>
        </w:rPr>
      </w:pPr>
      <w:r w:rsidRPr="0003060E">
        <w:rPr>
          <w:rStyle w:val="FootnoteReference"/>
          <w:rFonts w:cstheme="minorHAnsi"/>
        </w:rPr>
        <w:footnoteRef/>
      </w:r>
      <w:r w:rsidRPr="0003060E">
        <w:rPr>
          <w:rFonts w:cstheme="minorHAnsi"/>
        </w:rPr>
        <w:t xml:space="preserve"> </w:t>
      </w:r>
      <w:r w:rsidR="00DC7B0C" w:rsidRPr="0003060E">
        <w:rPr>
          <w:rFonts w:cstheme="minorHAnsi"/>
        </w:rPr>
        <w:t xml:space="preserve">Kim (n </w:t>
      </w:r>
      <w:r w:rsidR="00507336" w:rsidRPr="0003060E">
        <w:rPr>
          <w:rFonts w:cstheme="minorHAnsi"/>
        </w:rPr>
        <w:t>10</w:t>
      </w:r>
      <w:r w:rsidR="00712309" w:rsidRPr="0003060E">
        <w:rPr>
          <w:rFonts w:cstheme="minorHAnsi"/>
        </w:rPr>
        <w:t>3</w:t>
      </w:r>
      <w:r w:rsidR="00DC7B0C" w:rsidRPr="0003060E">
        <w:rPr>
          <w:rFonts w:cstheme="minorHAnsi"/>
        </w:rPr>
        <w:t>) 177 (Table 7.7).</w:t>
      </w:r>
    </w:p>
  </w:footnote>
  <w:footnote w:id="116">
    <w:p w14:paraId="5C052246" w14:textId="3D3B5F9F" w:rsidR="008F67A5" w:rsidRPr="0003060E" w:rsidRDefault="008F67A5">
      <w:pPr>
        <w:pStyle w:val="FootnoteText"/>
        <w:rPr>
          <w:rFonts w:cstheme="minorHAnsi"/>
        </w:rPr>
      </w:pPr>
      <w:r w:rsidRPr="0003060E">
        <w:rPr>
          <w:rStyle w:val="FootnoteReference"/>
          <w:rFonts w:cstheme="minorHAnsi"/>
        </w:rPr>
        <w:footnoteRef/>
      </w:r>
      <w:r w:rsidRPr="0003060E">
        <w:rPr>
          <w:rFonts w:cstheme="minorHAnsi"/>
        </w:rPr>
        <w:t xml:space="preserve"> See </w:t>
      </w:r>
      <w:r w:rsidR="00990A09" w:rsidRPr="0003060E">
        <w:rPr>
          <w:rFonts w:cstheme="minorHAnsi"/>
        </w:rPr>
        <w:t xml:space="preserve">‘Asia ADR Week 2021 – Session on Roles of In-House Counsel’ </w:t>
      </w:r>
      <w:r w:rsidR="00990A09" w:rsidRPr="0003060E">
        <w:rPr>
          <w:rFonts w:cstheme="minorHAnsi"/>
          <w:i/>
          <w:iCs/>
        </w:rPr>
        <w:t xml:space="preserve">Japanese Law and the Asia-Pacific </w:t>
      </w:r>
      <w:r w:rsidR="00990A09" w:rsidRPr="0003060E">
        <w:rPr>
          <w:rFonts w:cstheme="minorHAnsi"/>
        </w:rPr>
        <w:t>(Blog Post, 9 August 2021) &lt;</w:t>
      </w:r>
      <w:hyperlink r:id="rId44" w:history="1">
        <w:r w:rsidR="00990A09" w:rsidRPr="0003060E">
          <w:rPr>
            <w:rStyle w:val="Hyperlink"/>
            <w:rFonts w:cstheme="minorHAnsi"/>
          </w:rPr>
          <w:t>https://japaneselaw.sydney.edu.au/2021/08/asia-adr-week-2021-session-on-roles-of-in-house-counsel/</w:t>
        </w:r>
      </w:hyperlink>
      <w:r w:rsidR="00990A09" w:rsidRPr="0003060E">
        <w:rPr>
          <w:rFonts w:cstheme="minorHAnsi"/>
        </w:rPr>
        <w:t>&gt; (recording on file with the author).</w:t>
      </w:r>
    </w:p>
  </w:footnote>
  <w:footnote w:id="117">
    <w:p w14:paraId="5C0B1A90" w14:textId="18EBD944" w:rsidR="00707DB5" w:rsidRPr="0003060E" w:rsidRDefault="00707DB5">
      <w:pPr>
        <w:pStyle w:val="FootnoteText"/>
        <w:rPr>
          <w:rFonts w:cstheme="minorHAnsi"/>
        </w:rPr>
      </w:pPr>
      <w:r w:rsidRPr="0003060E">
        <w:rPr>
          <w:rStyle w:val="FootnoteReference"/>
          <w:rFonts w:cstheme="minorHAnsi"/>
        </w:rPr>
        <w:footnoteRef/>
      </w:r>
      <w:r w:rsidRPr="0003060E">
        <w:rPr>
          <w:rFonts w:cstheme="minorHAnsi"/>
        </w:rPr>
        <w:t xml:space="preserve">  Other reasons for the slow uptake in ratifications may be that: (</w:t>
      </w:r>
      <w:proofErr w:type="spellStart"/>
      <w:r w:rsidRPr="0003060E">
        <w:rPr>
          <w:rFonts w:cstheme="minorHAnsi"/>
        </w:rPr>
        <w:t>i</w:t>
      </w:r>
      <w:proofErr w:type="spellEnd"/>
      <w:r w:rsidRPr="0003060E">
        <w:rPr>
          <w:rFonts w:cstheme="minorHAnsi"/>
        </w:rPr>
        <w:t>) settlements from mediations are voluntary so are expected to be enforced; (ii) an arbitration clause can be added to the settlement agreement to enhance enforceability; (iii) if there is a med-arb provision agreed before disputes arise, then if the settlement is not enforced an arbitration can be commenced (albeit at extra cost); and (iv) and disruptions to legislative processes from the COVID-19 pandemic from 2020.</w:t>
      </w:r>
    </w:p>
  </w:footnote>
  <w:footnote w:id="118">
    <w:p w14:paraId="3DBD5FFA" w14:textId="7B449EBB" w:rsidR="00F154A8" w:rsidRPr="0003060E" w:rsidRDefault="00F154A8">
      <w:pPr>
        <w:pStyle w:val="FootnoteText"/>
        <w:rPr>
          <w:rFonts w:cstheme="minorHAnsi"/>
        </w:rPr>
      </w:pPr>
      <w:r w:rsidRPr="0003060E">
        <w:rPr>
          <w:rStyle w:val="FootnoteReference"/>
          <w:rFonts w:cstheme="minorHAnsi"/>
        </w:rPr>
        <w:footnoteRef/>
      </w:r>
      <w:r w:rsidRPr="0003060E">
        <w:rPr>
          <w:rFonts w:cstheme="minorHAnsi"/>
        </w:rPr>
        <w:t xml:space="preserve"> See generally </w:t>
      </w:r>
      <w:r w:rsidR="00625EFB" w:rsidRPr="0003060E">
        <w:rPr>
          <w:rFonts w:cstheme="minorHAnsi"/>
        </w:rPr>
        <w:t xml:space="preserve">Ana </w:t>
      </w:r>
      <w:r w:rsidRPr="0003060E">
        <w:rPr>
          <w:rFonts w:cstheme="minorHAnsi"/>
        </w:rPr>
        <w:t>Ubilava</w:t>
      </w:r>
      <w:r w:rsidR="00625EFB" w:rsidRPr="0003060E">
        <w:rPr>
          <w:rFonts w:cstheme="minorHAnsi"/>
        </w:rPr>
        <w:t xml:space="preserve">, </w:t>
      </w:r>
      <w:r w:rsidR="00625EFB" w:rsidRPr="0003060E">
        <w:rPr>
          <w:rFonts w:cstheme="minorHAnsi"/>
          <w:i/>
          <w:iCs/>
        </w:rPr>
        <w:t>Mediation as a Mandatory Pre-condition to Arbitration</w:t>
      </w:r>
      <w:r w:rsidR="00171E03" w:rsidRPr="0003060E">
        <w:rPr>
          <w:rFonts w:cstheme="minorHAnsi"/>
        </w:rPr>
        <w:t xml:space="preserve"> (Brill, 202</w:t>
      </w:r>
      <w:r w:rsidR="00707DB5" w:rsidRPr="0003060E">
        <w:rPr>
          <w:rFonts w:cstheme="minorHAnsi"/>
        </w:rPr>
        <w:t>3</w:t>
      </w:r>
      <w:r w:rsidR="00171E03" w:rsidRPr="0003060E">
        <w:rPr>
          <w:rFonts w:cstheme="minorHAnsi"/>
        </w:rPr>
        <w:t>)</w:t>
      </w:r>
      <w:r w:rsidR="00596C47" w:rsidRPr="0003060E">
        <w:rPr>
          <w:rFonts w:cstheme="minorHAnsi"/>
        </w:rPr>
        <w:t xml:space="preserve">; Romesh Weeramantry, Brian </w:t>
      </w:r>
      <w:proofErr w:type="gramStart"/>
      <w:r w:rsidR="00596C47" w:rsidRPr="0003060E">
        <w:rPr>
          <w:rFonts w:cstheme="minorHAnsi"/>
        </w:rPr>
        <w:t>Chang</w:t>
      </w:r>
      <w:proofErr w:type="gramEnd"/>
      <w:r w:rsidR="00596C47" w:rsidRPr="0003060E">
        <w:rPr>
          <w:rFonts w:cstheme="minorHAnsi"/>
        </w:rPr>
        <w:t xml:space="preserve"> and Joel Sherard-Chow, ‘Conciliation and Mediation in Investor-State Dispute Settlement Provisions: A Quantitative and Qualitative Analysis’ (2023) 38(1) </w:t>
      </w:r>
      <w:r w:rsidR="00596C47" w:rsidRPr="0003060E">
        <w:rPr>
          <w:rStyle w:val="Emphasis"/>
          <w:rFonts w:cstheme="minorHAnsi"/>
        </w:rPr>
        <w:t>ICSID Review - Foreign Investment Law Journal</w:t>
      </w:r>
      <w:r w:rsidR="00596C47" w:rsidRPr="0003060E">
        <w:rPr>
          <w:rFonts w:cstheme="minorHAnsi"/>
        </w:rPr>
        <w:t xml:space="preserve"> 201</w:t>
      </w:r>
      <w:r w:rsidR="00766186" w:rsidRPr="0003060E">
        <w:rPr>
          <w:rFonts w:cstheme="minorHAnsi"/>
        </w:rPr>
        <w:t>.</w:t>
      </w:r>
    </w:p>
  </w:footnote>
  <w:footnote w:id="119">
    <w:p w14:paraId="35EC2B83" w14:textId="4F4D3CB0" w:rsidR="00F154A8" w:rsidRPr="0003060E" w:rsidRDefault="00F154A8">
      <w:pPr>
        <w:pStyle w:val="FootnoteText"/>
        <w:rPr>
          <w:rFonts w:cstheme="minorHAnsi"/>
        </w:rPr>
      </w:pPr>
      <w:r w:rsidRPr="0003060E">
        <w:rPr>
          <w:rStyle w:val="FootnoteReference"/>
          <w:rFonts w:cstheme="minorHAnsi"/>
        </w:rPr>
        <w:footnoteRef/>
      </w:r>
      <w:r w:rsidRPr="0003060E">
        <w:rPr>
          <w:rFonts w:cstheme="minorHAnsi"/>
        </w:rPr>
        <w:t xml:space="preserve"> </w:t>
      </w:r>
      <w:r w:rsidR="00092705" w:rsidRPr="0003060E">
        <w:rPr>
          <w:rFonts w:cstheme="minorHAnsi"/>
        </w:rPr>
        <w:t xml:space="preserve">Under this treaty, the host state can require the investor to undertake mediation before commencing arbitration. See </w:t>
      </w:r>
      <w:r w:rsidR="00182EB6" w:rsidRPr="0003060E">
        <w:rPr>
          <w:rFonts w:cstheme="minorHAnsi"/>
        </w:rPr>
        <w:t xml:space="preserve">Ana </w:t>
      </w:r>
      <w:r w:rsidRPr="0003060E">
        <w:rPr>
          <w:rFonts w:cstheme="minorHAnsi"/>
        </w:rPr>
        <w:t>Ubilava and</w:t>
      </w:r>
      <w:r w:rsidR="00182EB6" w:rsidRPr="0003060E">
        <w:rPr>
          <w:rFonts w:cstheme="minorHAnsi"/>
        </w:rPr>
        <w:t xml:space="preserve"> Luke</w:t>
      </w:r>
      <w:r w:rsidRPr="0003060E">
        <w:rPr>
          <w:rFonts w:cstheme="minorHAnsi"/>
        </w:rPr>
        <w:t xml:space="preserve"> Nottage</w:t>
      </w:r>
      <w:r w:rsidR="00182EB6" w:rsidRPr="0003060E">
        <w:rPr>
          <w:rFonts w:cstheme="minorHAnsi"/>
        </w:rPr>
        <w:t xml:space="preserve">, </w:t>
      </w:r>
      <w:r w:rsidR="00B90184" w:rsidRPr="0003060E">
        <w:rPr>
          <w:rFonts w:cstheme="minorHAnsi"/>
        </w:rPr>
        <w:t>‘</w:t>
      </w:r>
      <w:r w:rsidR="00B5111E" w:rsidRPr="0003060E">
        <w:rPr>
          <w:rFonts w:cstheme="minorHAnsi"/>
        </w:rPr>
        <w:t xml:space="preserve">Novel and Noteworthy Aspects of Australia’s Recent Investment Agreements and ISDS Policy: The CPTPP, Hong Kong, </w:t>
      </w:r>
      <w:proofErr w:type="gramStart"/>
      <w:r w:rsidR="00B5111E" w:rsidRPr="0003060E">
        <w:rPr>
          <w:rFonts w:cstheme="minorHAnsi"/>
        </w:rPr>
        <w:t>Indonesia</w:t>
      </w:r>
      <w:proofErr w:type="gramEnd"/>
      <w:r w:rsidR="00B5111E" w:rsidRPr="0003060E">
        <w:rPr>
          <w:rFonts w:cstheme="minorHAnsi"/>
        </w:rPr>
        <w:t xml:space="preserve"> and Mauritius Transparency Treaties</w:t>
      </w:r>
      <w:r w:rsidR="00B90184" w:rsidRPr="0003060E">
        <w:rPr>
          <w:rFonts w:cstheme="minorHAnsi"/>
        </w:rPr>
        <w:t>’</w:t>
      </w:r>
      <w:r w:rsidR="00FE19A2" w:rsidRPr="0003060E">
        <w:rPr>
          <w:rFonts w:cstheme="minorHAnsi"/>
        </w:rPr>
        <w:t xml:space="preserve"> in Luke Nottage et al (eds), </w:t>
      </w:r>
      <w:r w:rsidR="00FE19A2" w:rsidRPr="0003060E">
        <w:rPr>
          <w:rFonts w:cstheme="minorHAnsi"/>
          <w:i/>
          <w:iCs/>
        </w:rPr>
        <w:t>New Frontiers in Asia-Pacific International Arbitration and Dispute Resolution</w:t>
      </w:r>
      <w:r w:rsidR="00FE19A2" w:rsidRPr="0003060E">
        <w:rPr>
          <w:rFonts w:cstheme="minorHAnsi"/>
        </w:rPr>
        <w:t xml:space="preserve"> </w:t>
      </w:r>
      <w:r w:rsidR="006602A6" w:rsidRPr="0003060E">
        <w:rPr>
          <w:rFonts w:cstheme="minorHAnsi"/>
        </w:rPr>
        <w:t xml:space="preserve">(Wolters Kluwer, </w:t>
      </w:r>
      <w:r w:rsidR="00990A09" w:rsidRPr="0003060E">
        <w:rPr>
          <w:rFonts w:cstheme="minorHAnsi"/>
        </w:rPr>
        <w:t>2021</w:t>
      </w:r>
      <w:r w:rsidR="006602A6" w:rsidRPr="0003060E">
        <w:rPr>
          <w:rFonts w:cstheme="minorHAnsi"/>
        </w:rPr>
        <w:t>)</w:t>
      </w:r>
      <w:r w:rsidR="00990A09" w:rsidRPr="0003060E">
        <w:rPr>
          <w:rFonts w:cstheme="minorHAnsi"/>
        </w:rPr>
        <w:t xml:space="preserve"> 115</w:t>
      </w:r>
      <w:r w:rsidR="00A61597" w:rsidRPr="0003060E">
        <w:rPr>
          <w:rFonts w:cstheme="minorHAnsi"/>
        </w:rPr>
        <w:t>.</w:t>
      </w:r>
    </w:p>
  </w:footnote>
  <w:footnote w:id="120">
    <w:p w14:paraId="4352B107" w14:textId="26C65F04" w:rsidR="00F154A8" w:rsidRPr="0003060E" w:rsidRDefault="00F154A8">
      <w:pPr>
        <w:pStyle w:val="FootnoteText"/>
        <w:rPr>
          <w:rFonts w:cstheme="minorHAnsi"/>
        </w:rPr>
      </w:pPr>
      <w:r w:rsidRPr="0003060E">
        <w:rPr>
          <w:rStyle w:val="FootnoteReference"/>
          <w:rFonts w:cstheme="minorHAnsi"/>
        </w:rPr>
        <w:footnoteRef/>
      </w:r>
      <w:r w:rsidRPr="0003060E">
        <w:rPr>
          <w:rFonts w:cstheme="minorHAnsi"/>
        </w:rPr>
        <w:t xml:space="preserve"> This was probably at the instigation of Indonesia and the UAE respectively, as Australia and Hong Kong had not been subject to many inbound ISDS arbitration claims and did not include compulsory med-arb in their own BIT signed in 2019. See further</w:t>
      </w:r>
      <w:r w:rsidR="00C428DE" w:rsidRPr="0003060E">
        <w:rPr>
          <w:rFonts w:cstheme="minorHAnsi"/>
        </w:rPr>
        <w:t xml:space="preserve"> James</w:t>
      </w:r>
      <w:r w:rsidRPr="0003060E">
        <w:rPr>
          <w:rFonts w:cstheme="minorHAnsi"/>
        </w:rPr>
        <w:t xml:space="preserve"> Claxton</w:t>
      </w:r>
      <w:r w:rsidR="00C428DE" w:rsidRPr="0003060E">
        <w:rPr>
          <w:rFonts w:cstheme="minorHAnsi"/>
        </w:rPr>
        <w:t>, Luke</w:t>
      </w:r>
      <w:r w:rsidRPr="0003060E">
        <w:rPr>
          <w:rFonts w:cstheme="minorHAnsi"/>
        </w:rPr>
        <w:t xml:space="preserve"> Nottage and </w:t>
      </w:r>
      <w:r w:rsidR="00C428DE" w:rsidRPr="0003060E">
        <w:rPr>
          <w:rFonts w:cstheme="minorHAnsi"/>
        </w:rPr>
        <w:t xml:space="preserve">Ana </w:t>
      </w:r>
      <w:r w:rsidRPr="0003060E">
        <w:rPr>
          <w:rFonts w:cstheme="minorHAnsi"/>
        </w:rPr>
        <w:t xml:space="preserve">Ubilava, </w:t>
      </w:r>
      <w:r w:rsidR="00C428DE" w:rsidRPr="0003060E">
        <w:rPr>
          <w:rFonts w:cstheme="minorHAnsi"/>
        </w:rPr>
        <w:t xml:space="preserve">‘Pioneering Mandatory Investor-State Conciliation Before Arbitration in Asia-Pacific Treaties: IA-CEPA and HK-UAE BIT’, </w:t>
      </w:r>
      <w:r w:rsidR="00C428DE" w:rsidRPr="0003060E">
        <w:rPr>
          <w:rFonts w:cstheme="minorHAnsi"/>
          <w:i/>
          <w:iCs/>
        </w:rPr>
        <w:t xml:space="preserve">Kluwer Arbitration Blog </w:t>
      </w:r>
      <w:r w:rsidR="00C428DE" w:rsidRPr="0003060E">
        <w:rPr>
          <w:rFonts w:cstheme="minorHAnsi"/>
        </w:rPr>
        <w:t>(Blog Post, 5 September 2020) &lt;</w:t>
      </w:r>
      <w:hyperlink r:id="rId45" w:history="1">
        <w:r w:rsidR="00C428DE" w:rsidRPr="0003060E">
          <w:rPr>
            <w:rStyle w:val="Hyperlink"/>
            <w:rFonts w:cstheme="minorHAnsi"/>
          </w:rPr>
          <w:t>https://arbitrationblog.kluwerarbitration.com/2020/09/05/pioneering-mandatory-investor-state-conciliation-before-arbitration-in-asia-pacific-treaties-ia-cepa-and-hk-uae-bit/</w:t>
        </w:r>
      </w:hyperlink>
      <w:r w:rsidR="00C428DE" w:rsidRPr="0003060E">
        <w:rPr>
          <w:rFonts w:cstheme="minorHAnsi"/>
        </w:rPr>
        <w:t>&gt;</w:t>
      </w:r>
      <w:r w:rsidRPr="0003060E">
        <w:rPr>
          <w:rFonts w:cstheme="minorHAnsi"/>
        </w:rPr>
        <w:t>.</w:t>
      </w:r>
    </w:p>
  </w:footnote>
  <w:footnote w:id="121">
    <w:p w14:paraId="5385AF6A" w14:textId="3BA1C89B" w:rsidR="005A19DB" w:rsidRPr="0003060E" w:rsidRDefault="005A19DB">
      <w:pPr>
        <w:pStyle w:val="FootnoteText"/>
        <w:rPr>
          <w:rFonts w:cstheme="minorHAnsi"/>
        </w:rPr>
      </w:pPr>
      <w:r w:rsidRPr="0003060E">
        <w:rPr>
          <w:rStyle w:val="FootnoteReference"/>
          <w:rFonts w:cstheme="minorHAnsi"/>
        </w:rPr>
        <w:footnoteRef/>
      </w:r>
      <w:r w:rsidRPr="0003060E">
        <w:rPr>
          <w:rFonts w:cstheme="minorHAnsi"/>
        </w:rPr>
        <w:t xml:space="preserve"> See</w:t>
      </w:r>
      <w:r w:rsidR="00294728" w:rsidRPr="0003060E">
        <w:rPr>
          <w:rFonts w:cstheme="minorHAnsi"/>
        </w:rPr>
        <w:t>,</w:t>
      </w:r>
      <w:r w:rsidRPr="0003060E">
        <w:rPr>
          <w:rFonts w:cstheme="minorHAnsi"/>
        </w:rPr>
        <w:t xml:space="preserve"> </w:t>
      </w:r>
      <w:proofErr w:type="spellStart"/>
      <w:r w:rsidRPr="0003060E">
        <w:rPr>
          <w:rFonts w:cstheme="minorHAnsi"/>
        </w:rPr>
        <w:t>eg</w:t>
      </w:r>
      <w:proofErr w:type="spellEnd"/>
      <w:r w:rsidR="00294728" w:rsidRPr="0003060E">
        <w:rPr>
          <w:rFonts w:cstheme="minorHAnsi"/>
        </w:rPr>
        <w:t>,</w:t>
      </w:r>
      <w:r w:rsidRPr="0003060E">
        <w:rPr>
          <w:rFonts w:cstheme="minorHAnsi"/>
        </w:rPr>
        <w:t xml:space="preserve"> Richard Garnett, </w:t>
      </w:r>
      <w:r w:rsidR="000A3A3E" w:rsidRPr="0003060E">
        <w:rPr>
          <w:rFonts w:cstheme="minorHAnsi"/>
        </w:rPr>
        <w:t xml:space="preserve">‘Multi-tier </w:t>
      </w:r>
      <w:r w:rsidR="00B86E18" w:rsidRPr="0003060E">
        <w:rPr>
          <w:rFonts w:cstheme="minorHAnsi"/>
        </w:rPr>
        <w:t xml:space="preserve">Dispute Resolution in </w:t>
      </w:r>
      <w:r w:rsidR="000A3A3E" w:rsidRPr="0003060E">
        <w:rPr>
          <w:rFonts w:cstheme="minorHAnsi"/>
        </w:rPr>
        <w:t>Australia</w:t>
      </w:r>
      <w:r w:rsidR="00B86E18" w:rsidRPr="0003060E">
        <w:rPr>
          <w:rFonts w:cstheme="minorHAnsi"/>
        </w:rPr>
        <w:t>: A Tale of Escalating' Acceptance</w:t>
      </w:r>
      <w:r w:rsidR="000A3A3E" w:rsidRPr="0003060E">
        <w:rPr>
          <w:rFonts w:cstheme="minorHAnsi"/>
        </w:rPr>
        <w:t>’</w:t>
      </w:r>
      <w:r w:rsidRPr="0003060E">
        <w:rPr>
          <w:rFonts w:cstheme="minorHAnsi"/>
        </w:rPr>
        <w:t xml:space="preserve"> </w:t>
      </w:r>
      <w:r w:rsidR="00934216" w:rsidRPr="0003060E">
        <w:rPr>
          <w:rFonts w:cstheme="minorHAnsi"/>
          <w:lang w:val="en-US"/>
        </w:rPr>
        <w:t xml:space="preserve">in Anselmo Reyes and Weixia Gu (eds), </w:t>
      </w:r>
      <w:r w:rsidR="00934216" w:rsidRPr="0003060E">
        <w:rPr>
          <w:rFonts w:cstheme="minorHAnsi"/>
          <w:i/>
          <w:iCs/>
          <w:lang w:val="en-US"/>
        </w:rPr>
        <w:t>Multi-Tier Approaches to the Resolution of International Disputes</w:t>
      </w:r>
      <w:r w:rsidR="00934216" w:rsidRPr="0003060E">
        <w:rPr>
          <w:rFonts w:cstheme="minorHAnsi"/>
          <w:lang w:val="en-US"/>
        </w:rPr>
        <w:t xml:space="preserve"> (Cambridge University Press, 202</w:t>
      </w:r>
      <w:r w:rsidR="00990A09" w:rsidRPr="0003060E">
        <w:rPr>
          <w:rFonts w:cstheme="minorHAnsi"/>
          <w:lang w:val="en-US"/>
        </w:rPr>
        <w:t>2</w:t>
      </w:r>
      <w:r w:rsidR="00934216" w:rsidRPr="0003060E">
        <w:rPr>
          <w:rFonts w:cstheme="minorHAnsi"/>
          <w:lang w:val="en-US"/>
        </w:rPr>
        <w:t>)</w:t>
      </w:r>
      <w:r w:rsidR="003543D9" w:rsidRPr="0003060E">
        <w:rPr>
          <w:rFonts w:cstheme="minorHAnsi"/>
          <w:lang w:val="en-US"/>
        </w:rPr>
        <w:t xml:space="preserve"> 343</w:t>
      </w:r>
      <w:r w:rsidR="009561BD" w:rsidRPr="0003060E">
        <w:rPr>
          <w:rFonts w:cstheme="minorHAnsi"/>
          <w:lang w:val="en-US"/>
        </w:rPr>
        <w:t>.</w:t>
      </w:r>
    </w:p>
  </w:footnote>
  <w:footnote w:id="122">
    <w:p w14:paraId="5672D6A3" w14:textId="66E837E1" w:rsidR="00C306AF" w:rsidRPr="0003060E" w:rsidRDefault="00C306AF">
      <w:pPr>
        <w:pStyle w:val="FootnoteText"/>
        <w:rPr>
          <w:rFonts w:cstheme="minorHAnsi"/>
        </w:rPr>
      </w:pPr>
      <w:r w:rsidRPr="0003060E">
        <w:rPr>
          <w:rStyle w:val="FootnoteReference"/>
          <w:rFonts w:cstheme="minorHAnsi"/>
        </w:rPr>
        <w:footnoteRef/>
      </w:r>
      <w:r w:rsidRPr="0003060E">
        <w:rPr>
          <w:rFonts w:cstheme="minorHAnsi"/>
        </w:rPr>
        <w:t xml:space="preserve"> </w:t>
      </w:r>
      <w:r w:rsidRPr="0003060E">
        <w:rPr>
          <w:rStyle w:val="Emphasis"/>
          <w:rFonts w:cstheme="minorHAnsi"/>
        </w:rPr>
        <w:t>International Research Corp PLC v Lufthansa Systems Asia Pacific Pt</w:t>
      </w:r>
      <w:r w:rsidR="00E62FD0" w:rsidRPr="0003060E">
        <w:rPr>
          <w:rStyle w:val="Emphasis"/>
          <w:rFonts w:cstheme="minorHAnsi"/>
        </w:rPr>
        <w:t>e</w:t>
      </w:r>
      <w:r w:rsidRPr="0003060E">
        <w:rPr>
          <w:rStyle w:val="Emphasis"/>
          <w:rFonts w:cstheme="minorHAnsi"/>
        </w:rPr>
        <w:t xml:space="preserve"> Ltd </w:t>
      </w:r>
      <w:r w:rsidRPr="0003060E">
        <w:rPr>
          <w:rStyle w:val="Emphasis"/>
          <w:rFonts w:cstheme="minorHAnsi"/>
          <w:i w:val="0"/>
          <w:iCs w:val="0"/>
        </w:rPr>
        <w:t>[2012] SGHC 226</w:t>
      </w:r>
      <w:r w:rsidRPr="0003060E">
        <w:rPr>
          <w:rStyle w:val="Emphasis"/>
          <w:rFonts w:cstheme="minorHAnsi"/>
        </w:rPr>
        <w:t xml:space="preserve">. </w:t>
      </w:r>
    </w:p>
  </w:footnote>
  <w:footnote w:id="123">
    <w:p w14:paraId="5211CB44" w14:textId="0A1A3F09" w:rsidR="00E61C8E" w:rsidRPr="0003060E" w:rsidRDefault="00E61C8E" w:rsidP="007022CE">
      <w:pPr>
        <w:pStyle w:val="NormalWeb"/>
        <w:spacing w:before="0" w:beforeAutospacing="0" w:after="0" w:afterAutospacing="0"/>
        <w:rPr>
          <w:rFonts w:asciiTheme="minorHAnsi" w:hAnsiTheme="minorHAnsi" w:cstheme="minorHAnsi"/>
          <w:sz w:val="20"/>
          <w:szCs w:val="20"/>
        </w:rPr>
      </w:pPr>
      <w:r w:rsidRPr="0003060E">
        <w:rPr>
          <w:rStyle w:val="FootnoteReference"/>
          <w:rFonts w:asciiTheme="minorHAnsi" w:hAnsiTheme="minorHAnsi" w:cstheme="minorHAnsi"/>
          <w:sz w:val="20"/>
          <w:szCs w:val="20"/>
        </w:rPr>
        <w:footnoteRef/>
      </w:r>
      <w:r w:rsidRPr="0003060E">
        <w:rPr>
          <w:rFonts w:asciiTheme="minorHAnsi" w:hAnsiTheme="minorHAnsi" w:cstheme="minorHAnsi"/>
          <w:sz w:val="20"/>
          <w:szCs w:val="20"/>
        </w:rPr>
        <w:t xml:space="preserve"> </w:t>
      </w:r>
      <w:r w:rsidRPr="0003060E">
        <w:rPr>
          <w:rStyle w:val="Emphasis"/>
          <w:rFonts w:asciiTheme="minorHAnsi" w:hAnsiTheme="minorHAnsi" w:cstheme="minorHAnsi"/>
          <w:sz w:val="20"/>
          <w:szCs w:val="20"/>
        </w:rPr>
        <w:t xml:space="preserve">HSBC Institutional Trust Services (Singapore) Ltd v Toshin Development Singapore Pte Ltd </w:t>
      </w:r>
      <w:r w:rsidRPr="0003060E">
        <w:rPr>
          <w:rStyle w:val="Emphasis"/>
          <w:rFonts w:asciiTheme="minorHAnsi" w:hAnsiTheme="minorHAnsi" w:cstheme="minorHAnsi"/>
          <w:i w:val="0"/>
          <w:iCs w:val="0"/>
          <w:sz w:val="20"/>
          <w:szCs w:val="20"/>
        </w:rPr>
        <w:t>[2012] SGCA 48</w:t>
      </w:r>
      <w:r w:rsidR="00F93DED" w:rsidRPr="0003060E">
        <w:rPr>
          <w:rFonts w:asciiTheme="minorHAnsi" w:hAnsiTheme="minorHAnsi" w:cstheme="minorHAnsi"/>
          <w:sz w:val="20"/>
          <w:szCs w:val="20"/>
        </w:rPr>
        <w:t xml:space="preserve"> at [40].</w:t>
      </w:r>
    </w:p>
  </w:footnote>
  <w:footnote w:id="124">
    <w:p w14:paraId="0A97F955" w14:textId="611F9E3F" w:rsidR="00E61C8E" w:rsidRPr="0003060E" w:rsidRDefault="00E61C8E">
      <w:pPr>
        <w:pStyle w:val="FootnoteText"/>
        <w:rPr>
          <w:rFonts w:cstheme="minorHAnsi"/>
        </w:rPr>
      </w:pPr>
      <w:r w:rsidRPr="0003060E">
        <w:rPr>
          <w:rStyle w:val="FootnoteReference"/>
          <w:rFonts w:cstheme="minorHAnsi"/>
        </w:rPr>
        <w:footnoteRef/>
      </w:r>
      <w:r w:rsidRPr="0003060E">
        <w:rPr>
          <w:rFonts w:cstheme="minorHAnsi"/>
        </w:rPr>
        <w:t xml:space="preserve"> </w:t>
      </w:r>
      <w:r w:rsidRPr="0003060E">
        <w:rPr>
          <w:rStyle w:val="Emphasis"/>
          <w:rFonts w:cstheme="minorHAnsi"/>
        </w:rPr>
        <w:t xml:space="preserve">Wah (Aka Alan Tang) &amp; Another v Grant Thornton International Ltd &amp; Others </w:t>
      </w:r>
      <w:r w:rsidRPr="0003060E">
        <w:rPr>
          <w:rStyle w:val="Emphasis"/>
          <w:rFonts w:cstheme="minorHAnsi"/>
          <w:i w:val="0"/>
          <w:iCs w:val="0"/>
        </w:rPr>
        <w:t>[2012] EWHC 3198 (Ch)</w:t>
      </w:r>
      <w:r w:rsidRPr="0003060E">
        <w:rPr>
          <w:rFonts w:cstheme="minorHAnsi"/>
          <w:i/>
          <w:iCs/>
        </w:rPr>
        <w:t>.</w:t>
      </w:r>
      <w:r w:rsidRPr="0003060E">
        <w:rPr>
          <w:rFonts w:cstheme="minorHAnsi"/>
        </w:rPr>
        <w:t xml:space="preserve"> </w:t>
      </w:r>
    </w:p>
  </w:footnote>
  <w:footnote w:id="125">
    <w:p w14:paraId="7CEB99BC" w14:textId="7AF40E5B" w:rsidR="00E61C8E" w:rsidRPr="0003060E" w:rsidRDefault="00E61C8E">
      <w:pPr>
        <w:pStyle w:val="FootnoteText"/>
        <w:rPr>
          <w:rFonts w:cstheme="minorHAnsi"/>
        </w:rPr>
      </w:pPr>
      <w:r w:rsidRPr="0003060E">
        <w:rPr>
          <w:rStyle w:val="FootnoteReference"/>
          <w:rFonts w:cstheme="minorHAnsi"/>
        </w:rPr>
        <w:footnoteRef/>
      </w:r>
      <w:r w:rsidRPr="0003060E">
        <w:rPr>
          <w:rFonts w:cstheme="minorHAnsi"/>
        </w:rPr>
        <w:t xml:space="preserve"> </w:t>
      </w:r>
      <w:r w:rsidR="008F1F43" w:rsidRPr="0003060E">
        <w:rPr>
          <w:rFonts w:cstheme="minorHAnsi"/>
        </w:rPr>
        <w:t xml:space="preserve">Darius </w:t>
      </w:r>
      <w:r w:rsidRPr="0003060E">
        <w:rPr>
          <w:rFonts w:cstheme="minorHAnsi"/>
        </w:rPr>
        <w:t>Chan,</w:t>
      </w:r>
      <w:r w:rsidR="008F1F43" w:rsidRPr="0003060E">
        <w:rPr>
          <w:rFonts w:cstheme="minorHAnsi"/>
        </w:rPr>
        <w:t xml:space="preserve"> ‘Enforceability of Multi-tiered Dispute Resolution Mechanisms – the Singapore Judiciary’s Promotion of Consensus as a Cultural Value’</w:t>
      </w:r>
      <w:r w:rsidR="00577052" w:rsidRPr="0003060E">
        <w:rPr>
          <w:rFonts w:cstheme="minorHAnsi"/>
        </w:rPr>
        <w:t xml:space="preserve">, </w:t>
      </w:r>
      <w:r w:rsidR="00577052" w:rsidRPr="0003060E">
        <w:rPr>
          <w:rFonts w:cstheme="minorHAnsi"/>
          <w:i/>
          <w:iCs/>
        </w:rPr>
        <w:t>Kluwer Arbitration Blog</w:t>
      </w:r>
      <w:r w:rsidR="00D3184C" w:rsidRPr="0003060E">
        <w:rPr>
          <w:rFonts w:cstheme="minorHAnsi"/>
        </w:rPr>
        <w:t xml:space="preserve"> (Blog Post, 8 January 2013)</w:t>
      </w:r>
      <w:r w:rsidR="00420776" w:rsidRPr="0003060E">
        <w:rPr>
          <w:rFonts w:cstheme="minorHAnsi"/>
        </w:rPr>
        <w:t xml:space="preserve"> &lt;</w:t>
      </w:r>
      <w:hyperlink r:id="rId46" w:history="1">
        <w:r w:rsidR="00420776" w:rsidRPr="0003060E">
          <w:rPr>
            <w:rStyle w:val="Hyperlink"/>
            <w:rFonts w:cstheme="minorHAnsi"/>
          </w:rPr>
          <w:t>https://arbitrationblog.kluwerarbitration.com/2013/01/08/enforceability-of-multi-tiered-dispute-resolution-mechanisms-the-singapore-judiciarys-promotion-of-consensus-as-a-cultural-value/</w:t>
        </w:r>
      </w:hyperlink>
      <w:r w:rsidR="00420776" w:rsidRPr="0003060E">
        <w:rPr>
          <w:rFonts w:cstheme="minorHAnsi"/>
        </w:rPr>
        <w:t>&gt;.</w:t>
      </w:r>
    </w:p>
  </w:footnote>
  <w:footnote w:id="126">
    <w:p w14:paraId="117FDB11" w14:textId="647A9396" w:rsidR="005755BD" w:rsidRPr="0003060E" w:rsidRDefault="005755BD">
      <w:pPr>
        <w:pStyle w:val="FootnoteText"/>
        <w:rPr>
          <w:rFonts w:cstheme="minorHAnsi"/>
        </w:rPr>
      </w:pPr>
      <w:r w:rsidRPr="0003060E">
        <w:rPr>
          <w:rStyle w:val="FootnoteReference"/>
          <w:rFonts w:cstheme="minorHAnsi"/>
        </w:rPr>
        <w:footnoteRef/>
      </w:r>
      <w:r w:rsidRPr="0003060E">
        <w:rPr>
          <w:rFonts w:cstheme="minorHAnsi"/>
        </w:rPr>
        <w:t xml:space="preserve"> </w:t>
      </w:r>
      <w:r w:rsidR="00045FB0" w:rsidRPr="0003060E">
        <w:rPr>
          <w:rFonts w:cstheme="minorHAnsi"/>
          <w:i/>
          <w:iCs/>
        </w:rPr>
        <w:t xml:space="preserve">BBA v BAZ </w:t>
      </w:r>
      <w:r w:rsidRPr="0003060E">
        <w:rPr>
          <w:rFonts w:cstheme="minorHAnsi"/>
          <w:lang w:val="en-US"/>
        </w:rPr>
        <w:t>[2020] SGCA 53</w:t>
      </w:r>
      <w:r w:rsidRPr="0003060E">
        <w:rPr>
          <w:rFonts w:cstheme="minorHAnsi"/>
          <w:color w:val="000000"/>
        </w:rPr>
        <w:t xml:space="preserve">. </w:t>
      </w:r>
    </w:p>
  </w:footnote>
  <w:footnote w:id="127">
    <w:p w14:paraId="1A188783" w14:textId="75BCA4E9" w:rsidR="005755BD" w:rsidRPr="0003060E" w:rsidRDefault="005755BD">
      <w:pPr>
        <w:pStyle w:val="FootnoteText"/>
        <w:rPr>
          <w:rFonts w:cstheme="minorHAnsi"/>
        </w:rPr>
      </w:pPr>
      <w:r w:rsidRPr="0003060E">
        <w:rPr>
          <w:rStyle w:val="FootnoteReference"/>
          <w:rFonts w:cstheme="minorHAnsi"/>
        </w:rPr>
        <w:footnoteRef/>
      </w:r>
      <w:r w:rsidRPr="0003060E">
        <w:rPr>
          <w:rFonts w:cstheme="minorHAnsi"/>
        </w:rPr>
        <w:t xml:space="preserve"> Iris Ng,</w:t>
      </w:r>
      <w:r w:rsidR="00C30DD5" w:rsidRPr="0003060E">
        <w:rPr>
          <w:rFonts w:cstheme="minorHAnsi"/>
        </w:rPr>
        <w:t xml:space="preserve"> ‘Jurisdiction or Admissibility? The Status of Time Bars Under Singapore Arbitration Law’, </w:t>
      </w:r>
      <w:r w:rsidR="00C30DD5" w:rsidRPr="0003060E">
        <w:rPr>
          <w:rFonts w:cstheme="minorHAnsi"/>
          <w:i/>
          <w:iCs/>
        </w:rPr>
        <w:t xml:space="preserve">Kluwer Arbitration Blog </w:t>
      </w:r>
      <w:r w:rsidR="00C30DD5" w:rsidRPr="0003060E">
        <w:rPr>
          <w:rFonts w:cstheme="minorHAnsi"/>
        </w:rPr>
        <w:t>(Blog Post, 2020)</w:t>
      </w:r>
      <w:r w:rsidRPr="0003060E">
        <w:rPr>
          <w:rFonts w:cstheme="minorHAnsi"/>
        </w:rPr>
        <w:t xml:space="preserve"> </w:t>
      </w:r>
      <w:r w:rsidR="00E12AE0" w:rsidRPr="0003060E">
        <w:rPr>
          <w:rFonts w:cstheme="minorHAnsi"/>
        </w:rPr>
        <w:t>&lt;</w:t>
      </w:r>
      <w:hyperlink r:id="rId47" w:history="1">
        <w:r w:rsidR="00E12AE0" w:rsidRPr="0003060E">
          <w:rPr>
            <w:rStyle w:val="Hyperlink"/>
            <w:rFonts w:cstheme="minorHAnsi"/>
          </w:rPr>
          <w:t>https://arbitrationblog.kluwerarbitration.com/2020/08/07/jurisdiction-or-admissibility-the-status-of-time-bars-under-singapore-arbitration-law/</w:t>
        </w:r>
      </w:hyperlink>
      <w:r w:rsidR="00E12AE0" w:rsidRPr="0003060E">
        <w:rPr>
          <w:rFonts w:cstheme="minorHAnsi"/>
        </w:rPr>
        <w:t>&gt;</w:t>
      </w:r>
      <w:r w:rsidRPr="0003060E">
        <w:rPr>
          <w:rFonts w:cstheme="minorHAnsi"/>
        </w:rPr>
        <w:t xml:space="preserve"> (referring to the judgment at [77])</w:t>
      </w:r>
      <w:r w:rsidR="00E12AE0" w:rsidRPr="0003060E">
        <w:rPr>
          <w:rFonts w:cstheme="minorHAnsi"/>
        </w:rPr>
        <w:t>.</w:t>
      </w:r>
    </w:p>
  </w:footnote>
  <w:footnote w:id="128">
    <w:p w14:paraId="6DC1D4ED" w14:textId="64923311" w:rsidR="001470E0" w:rsidRPr="0003060E" w:rsidRDefault="001470E0">
      <w:pPr>
        <w:pStyle w:val="FootnoteText"/>
        <w:rPr>
          <w:rFonts w:cstheme="minorHAnsi"/>
        </w:rPr>
      </w:pPr>
      <w:r w:rsidRPr="0003060E">
        <w:rPr>
          <w:rStyle w:val="FootnoteReference"/>
          <w:rFonts w:cstheme="minorHAnsi"/>
        </w:rPr>
        <w:footnoteRef/>
      </w:r>
      <w:r w:rsidRPr="0003060E">
        <w:rPr>
          <w:rFonts w:cstheme="minorHAnsi"/>
        </w:rPr>
        <w:t xml:space="preserve"> </w:t>
      </w:r>
      <w:r w:rsidR="005755BD" w:rsidRPr="0003060E">
        <w:rPr>
          <w:rFonts w:cstheme="minorHAnsi"/>
        </w:rPr>
        <w:t xml:space="preserve">Ibid </w:t>
      </w:r>
      <w:r w:rsidRPr="0003060E">
        <w:rPr>
          <w:rFonts w:cstheme="minorHAnsi"/>
        </w:rPr>
        <w:t>(contrasting</w:t>
      </w:r>
      <w:r w:rsidR="00AB1AF0" w:rsidRPr="0003060E">
        <w:rPr>
          <w:rFonts w:cstheme="minorHAnsi"/>
        </w:rPr>
        <w:t xml:space="preserve"> </w:t>
      </w:r>
      <w:r w:rsidR="00AB1AF0" w:rsidRPr="0003060E">
        <w:rPr>
          <w:rFonts w:cstheme="minorHAnsi"/>
          <w:i/>
          <w:iCs/>
        </w:rPr>
        <w:t>Grandeur</w:t>
      </w:r>
      <w:r w:rsidRPr="0003060E">
        <w:rPr>
          <w:rFonts w:cstheme="minorHAnsi"/>
        </w:rPr>
        <w:t xml:space="preserve"> </w:t>
      </w:r>
      <w:hyperlink r:id="rId48" w:tooltip="Hong Kong Court of Appeal - View Full Text on HKLII" w:history="1">
        <w:r w:rsidRPr="0003060E">
          <w:rPr>
            <w:rStyle w:val="Hyperlink"/>
            <w:rFonts w:cstheme="minorHAnsi"/>
            <w:color w:val="auto"/>
            <w:u w:val="none"/>
          </w:rPr>
          <w:t>[2006] HKCA 305</w:t>
        </w:r>
      </w:hyperlink>
      <w:r w:rsidRPr="0003060E">
        <w:rPr>
          <w:rFonts w:cstheme="minorHAnsi"/>
        </w:rPr>
        <w:t xml:space="preserve"> and William W Park, </w:t>
      </w:r>
      <w:r w:rsidR="005C1991" w:rsidRPr="0003060E">
        <w:rPr>
          <w:rFonts w:cstheme="minorHAnsi"/>
        </w:rPr>
        <w:t>‘</w:t>
      </w:r>
      <w:r w:rsidRPr="0003060E">
        <w:rPr>
          <w:rFonts w:cstheme="minorHAnsi"/>
        </w:rPr>
        <w:t xml:space="preserve">Arbitral jurisdiction in the United States: </w:t>
      </w:r>
      <w:r w:rsidR="009804F1" w:rsidRPr="0003060E">
        <w:rPr>
          <w:rFonts w:cstheme="minorHAnsi"/>
        </w:rPr>
        <w:t>W</w:t>
      </w:r>
      <w:r w:rsidRPr="0003060E">
        <w:rPr>
          <w:rFonts w:cstheme="minorHAnsi"/>
        </w:rPr>
        <w:t xml:space="preserve">ho </w:t>
      </w:r>
      <w:r w:rsidR="009804F1" w:rsidRPr="0003060E">
        <w:rPr>
          <w:rFonts w:cstheme="minorHAnsi"/>
        </w:rPr>
        <w:t>D</w:t>
      </w:r>
      <w:r w:rsidRPr="0003060E">
        <w:rPr>
          <w:rFonts w:cstheme="minorHAnsi"/>
        </w:rPr>
        <w:t xml:space="preserve">ecides </w:t>
      </w:r>
      <w:r w:rsidR="009804F1" w:rsidRPr="0003060E">
        <w:rPr>
          <w:rFonts w:cstheme="minorHAnsi"/>
        </w:rPr>
        <w:t>W</w:t>
      </w:r>
      <w:r w:rsidRPr="0003060E">
        <w:rPr>
          <w:rFonts w:cstheme="minorHAnsi"/>
        </w:rPr>
        <w:t>hat?</w:t>
      </w:r>
      <w:r w:rsidR="005C1991" w:rsidRPr="0003060E">
        <w:rPr>
          <w:rFonts w:cstheme="minorHAnsi"/>
        </w:rPr>
        <w:t>’</w:t>
      </w:r>
      <w:r w:rsidRPr="0003060E">
        <w:rPr>
          <w:rFonts w:cstheme="minorHAnsi"/>
        </w:rPr>
        <w:t xml:space="preserve"> (2008) 11</w:t>
      </w:r>
      <w:r w:rsidR="006339F5" w:rsidRPr="0003060E">
        <w:rPr>
          <w:rFonts w:cstheme="minorHAnsi"/>
        </w:rPr>
        <w:t>(1)</w:t>
      </w:r>
      <w:r w:rsidRPr="0003060E">
        <w:rPr>
          <w:rFonts w:cstheme="minorHAnsi"/>
        </w:rPr>
        <w:t xml:space="preserve"> </w:t>
      </w:r>
      <w:r w:rsidR="005C1991" w:rsidRPr="0003060E">
        <w:rPr>
          <w:rFonts w:cstheme="minorHAnsi"/>
          <w:i/>
          <w:iCs/>
        </w:rPr>
        <w:t>International Arbitration Law Review</w:t>
      </w:r>
      <w:r w:rsidR="005C1991" w:rsidRPr="0003060E">
        <w:rPr>
          <w:rFonts w:cstheme="minorHAnsi"/>
        </w:rPr>
        <w:t xml:space="preserve"> </w:t>
      </w:r>
      <w:r w:rsidRPr="0003060E">
        <w:rPr>
          <w:rFonts w:cstheme="minorHAnsi"/>
        </w:rPr>
        <w:t>33</w:t>
      </w:r>
      <w:r w:rsidR="005C1991" w:rsidRPr="0003060E">
        <w:rPr>
          <w:rFonts w:cstheme="minorHAnsi"/>
        </w:rPr>
        <w:t xml:space="preserve">, </w:t>
      </w:r>
      <w:r w:rsidRPr="0003060E">
        <w:rPr>
          <w:rFonts w:cstheme="minorHAnsi"/>
        </w:rPr>
        <w:t xml:space="preserve">35). </w:t>
      </w:r>
    </w:p>
  </w:footnote>
  <w:footnote w:id="129">
    <w:p w14:paraId="11B7B2A9" w14:textId="4E16F2B5" w:rsidR="00913042" w:rsidRPr="0003060E" w:rsidRDefault="00AB3629" w:rsidP="00913042">
      <w:pPr>
        <w:pStyle w:val="FootnoteText"/>
        <w:rPr>
          <w:rFonts w:cstheme="minorHAnsi"/>
        </w:rPr>
      </w:pPr>
      <w:r w:rsidRPr="0003060E">
        <w:rPr>
          <w:rStyle w:val="FootnoteReference"/>
          <w:rFonts w:cstheme="minorHAnsi"/>
        </w:rPr>
        <w:footnoteRef/>
      </w:r>
      <w:r w:rsidRPr="0003060E">
        <w:rPr>
          <w:rFonts w:cstheme="minorHAnsi"/>
        </w:rPr>
        <w:t xml:space="preserve"> </w:t>
      </w:r>
      <w:r w:rsidR="00913042" w:rsidRPr="0003060E">
        <w:rPr>
          <w:rFonts w:cstheme="minorHAnsi"/>
          <w:lang w:val="en-US"/>
        </w:rPr>
        <w:t xml:space="preserve">Darius Chan and </w:t>
      </w:r>
      <w:r w:rsidR="00913042" w:rsidRPr="0003060E">
        <w:rPr>
          <w:rFonts w:cstheme="minorHAnsi"/>
        </w:rPr>
        <w:t xml:space="preserve">Joel Soon, ‘Non-Satisfaction of Pre-Arbitration Requirements: Moving Away from Conditions Precedent Towards the Admissibility of a Claim— </w:t>
      </w:r>
      <w:r w:rsidR="00913042" w:rsidRPr="0003060E">
        <w:rPr>
          <w:rFonts w:cstheme="minorHAnsi"/>
          <w:i/>
          <w:iCs/>
        </w:rPr>
        <w:t>NWA v NVF</w:t>
      </w:r>
      <w:r w:rsidR="00913042" w:rsidRPr="0003060E">
        <w:rPr>
          <w:rFonts w:cstheme="minorHAnsi"/>
        </w:rPr>
        <w:t xml:space="preserve">’ [2022] </w:t>
      </w:r>
      <w:r w:rsidR="00913042" w:rsidRPr="0003060E">
        <w:rPr>
          <w:rFonts w:cstheme="minorHAnsi"/>
          <w:i/>
          <w:iCs/>
        </w:rPr>
        <w:t>Singapore Journal of Legal Studies</w:t>
      </w:r>
      <w:r w:rsidR="00913042" w:rsidRPr="0003060E">
        <w:rPr>
          <w:rFonts w:cstheme="minorHAnsi"/>
        </w:rPr>
        <w:t xml:space="preserve">, 450, 461, referring to Michael Hwang and Si Cheng Lim, ‘The Chimera of Admissibility in International Arbitration’ in Neil Kaplan &amp; Michael Moser (eds), </w:t>
      </w:r>
      <w:r w:rsidR="00913042" w:rsidRPr="0003060E">
        <w:rPr>
          <w:rFonts w:cstheme="minorHAnsi"/>
          <w:i/>
          <w:iCs/>
        </w:rPr>
        <w:t>Jurisdiction, Admissibility and Choice of Law in</w:t>
      </w:r>
      <w:r w:rsidR="00913042" w:rsidRPr="0003060E">
        <w:rPr>
          <w:rFonts w:cstheme="minorHAnsi"/>
        </w:rPr>
        <w:t xml:space="preserve"> </w:t>
      </w:r>
      <w:r w:rsidR="00913042" w:rsidRPr="0003060E">
        <w:rPr>
          <w:rFonts w:cstheme="minorHAnsi"/>
          <w:i/>
          <w:iCs/>
        </w:rPr>
        <w:t xml:space="preserve">International Arbitration </w:t>
      </w:r>
      <w:r w:rsidR="00913042" w:rsidRPr="0003060E">
        <w:rPr>
          <w:rFonts w:cstheme="minorHAnsi"/>
        </w:rPr>
        <w:t>(Kluwer Law International, 2018) 265.</w:t>
      </w:r>
    </w:p>
  </w:footnote>
  <w:footnote w:id="130">
    <w:p w14:paraId="7F3FC284" w14:textId="66FF4BA8" w:rsidR="00A82640" w:rsidRPr="0003060E" w:rsidRDefault="00A82640">
      <w:pPr>
        <w:pStyle w:val="FootnoteText"/>
        <w:rPr>
          <w:rFonts w:cstheme="minorHAnsi"/>
        </w:rPr>
      </w:pPr>
      <w:r w:rsidRPr="0003060E">
        <w:rPr>
          <w:rStyle w:val="FootnoteReference"/>
          <w:rFonts w:cstheme="minorHAnsi"/>
        </w:rPr>
        <w:footnoteRef/>
      </w:r>
      <w:r w:rsidRPr="0003060E">
        <w:rPr>
          <w:rFonts w:cstheme="minorHAnsi"/>
        </w:rPr>
        <w:t xml:space="preserve"> </w:t>
      </w:r>
      <w:r w:rsidR="00AB3629" w:rsidRPr="0003060E">
        <w:rPr>
          <w:rFonts w:cstheme="minorHAnsi"/>
          <w:i/>
          <w:iCs/>
        </w:rPr>
        <w:t xml:space="preserve">C v D </w:t>
      </w:r>
      <w:r w:rsidRPr="0003060E">
        <w:rPr>
          <w:rFonts w:cstheme="minorHAnsi"/>
        </w:rPr>
        <w:t>[2023] HKCFA 16.</w:t>
      </w:r>
    </w:p>
  </w:footnote>
  <w:footnote w:id="131">
    <w:p w14:paraId="23215486" w14:textId="38C3C448" w:rsidR="00A82640" w:rsidRPr="0003060E" w:rsidRDefault="00A82640">
      <w:pPr>
        <w:pStyle w:val="FootnoteText"/>
        <w:rPr>
          <w:rFonts w:cstheme="minorHAnsi"/>
        </w:rPr>
      </w:pPr>
      <w:r w:rsidRPr="0003060E">
        <w:rPr>
          <w:rStyle w:val="FootnoteReference"/>
          <w:rFonts w:cstheme="minorHAnsi"/>
        </w:rPr>
        <w:footnoteRef/>
      </w:r>
      <w:r w:rsidRPr="0003060E">
        <w:rPr>
          <w:rFonts w:cstheme="minorHAnsi"/>
        </w:rPr>
        <w:t xml:space="preserve"> See</w:t>
      </w:r>
      <w:r w:rsidR="00DF5F6B" w:rsidRPr="0003060E">
        <w:rPr>
          <w:rFonts w:cstheme="minorHAnsi"/>
        </w:rPr>
        <w:t xml:space="preserve"> Cheung CJ at</w:t>
      </w:r>
      <w:r w:rsidRPr="0003060E">
        <w:rPr>
          <w:rFonts w:cstheme="minorHAnsi"/>
        </w:rPr>
        <w:t xml:space="preserve"> [34]-[38], </w:t>
      </w:r>
      <w:r w:rsidR="00DF5F6B" w:rsidRPr="0003060E">
        <w:rPr>
          <w:rFonts w:cstheme="minorHAnsi"/>
        </w:rPr>
        <w:t>elaborating on</w:t>
      </w:r>
      <w:r w:rsidR="002D19CC" w:rsidRPr="0003060E">
        <w:rPr>
          <w:rFonts w:cstheme="minorHAnsi"/>
        </w:rPr>
        <w:t>,</w:t>
      </w:r>
      <w:r w:rsidRPr="0003060E">
        <w:rPr>
          <w:rFonts w:cstheme="minorHAnsi"/>
        </w:rPr>
        <w:t xml:space="preserve"> </w:t>
      </w:r>
      <w:proofErr w:type="spellStart"/>
      <w:r w:rsidRPr="0003060E">
        <w:rPr>
          <w:rFonts w:cstheme="minorHAnsi"/>
        </w:rPr>
        <w:t>eg</w:t>
      </w:r>
      <w:proofErr w:type="spellEnd"/>
      <w:r w:rsidR="002D19CC" w:rsidRPr="0003060E">
        <w:rPr>
          <w:rFonts w:cstheme="minorHAnsi"/>
        </w:rPr>
        <w:t>,</w:t>
      </w:r>
      <w:r w:rsidRPr="0003060E">
        <w:rPr>
          <w:rFonts w:cstheme="minorHAnsi"/>
        </w:rPr>
        <w:t xml:space="preserve"> </w:t>
      </w:r>
      <w:r w:rsidRPr="0003060E">
        <w:rPr>
          <w:rFonts w:cstheme="minorHAnsi"/>
          <w:i/>
          <w:iCs/>
        </w:rPr>
        <w:t>Republic of Sierra Leone v SL Mining Ltd</w:t>
      </w:r>
      <w:r w:rsidR="00DF5496" w:rsidRPr="0003060E">
        <w:rPr>
          <w:rFonts w:cstheme="minorHAnsi"/>
        </w:rPr>
        <w:t xml:space="preserve"> [2021] Bus LR 704 </w:t>
      </w:r>
      <w:r w:rsidRPr="0003060E">
        <w:rPr>
          <w:rFonts w:cstheme="minorHAnsi"/>
        </w:rPr>
        <w:t xml:space="preserve">and </w:t>
      </w:r>
      <w:r w:rsidR="00DF5F6B" w:rsidRPr="0003060E">
        <w:rPr>
          <w:rFonts w:cstheme="minorHAnsi"/>
          <w:i/>
          <w:iCs/>
        </w:rPr>
        <w:t>The Nuance Group (Australia) Pty Ltd v Shape Australia Pty Ltd</w:t>
      </w:r>
      <w:r w:rsidR="00DF5496" w:rsidRPr="0003060E">
        <w:rPr>
          <w:rFonts w:cstheme="minorHAnsi"/>
        </w:rPr>
        <w:t xml:space="preserve"> [2021] NSWSC 1498.</w:t>
      </w:r>
    </w:p>
  </w:footnote>
  <w:footnote w:id="132">
    <w:p w14:paraId="7E601592" w14:textId="36124B6D" w:rsidR="00DF5F6B" w:rsidRPr="0003060E" w:rsidRDefault="00DF5F6B">
      <w:pPr>
        <w:pStyle w:val="FootnoteText"/>
        <w:rPr>
          <w:rFonts w:cstheme="minorHAnsi"/>
        </w:rPr>
      </w:pPr>
      <w:r w:rsidRPr="0003060E">
        <w:rPr>
          <w:rStyle w:val="FootnoteReference"/>
          <w:rFonts w:cstheme="minorHAnsi"/>
        </w:rPr>
        <w:footnoteRef/>
      </w:r>
      <w:r w:rsidRPr="0003060E">
        <w:rPr>
          <w:rFonts w:cstheme="minorHAnsi"/>
        </w:rPr>
        <w:t xml:space="preserve"> </w:t>
      </w:r>
      <w:r w:rsidR="00CE1303" w:rsidRPr="0003060E">
        <w:rPr>
          <w:rFonts w:cstheme="minorHAnsi"/>
        </w:rPr>
        <w:t xml:space="preserve">Simon Chapman et al, </w:t>
      </w:r>
      <w:r w:rsidR="00D85C1F" w:rsidRPr="0003060E">
        <w:rPr>
          <w:rFonts w:cstheme="minorHAnsi"/>
        </w:rPr>
        <w:t xml:space="preserve">‘Milestone Arbitration Judgment from Hong Kong’s Highest Court Brings Greater Certainty For Commercial Contracts’, </w:t>
      </w:r>
      <w:r w:rsidR="00D85C1F" w:rsidRPr="0003060E">
        <w:rPr>
          <w:rFonts w:cstheme="minorHAnsi"/>
          <w:i/>
          <w:iCs/>
        </w:rPr>
        <w:t>HSF Arbitration Notes</w:t>
      </w:r>
      <w:r w:rsidR="00D85C1F" w:rsidRPr="0003060E">
        <w:rPr>
          <w:rFonts w:cstheme="minorHAnsi"/>
        </w:rPr>
        <w:t xml:space="preserve"> (Blog Post, 30 June 2023) &lt;</w:t>
      </w:r>
      <w:hyperlink r:id="rId49" w:history="1">
        <w:r w:rsidR="00D85C1F" w:rsidRPr="0003060E">
          <w:rPr>
            <w:rStyle w:val="Hyperlink"/>
            <w:rFonts w:cstheme="minorHAnsi"/>
          </w:rPr>
          <w:t>https://hsfnotes.com/arbitration/2023/06/30/milestone-arbitration-judgment-from-hong-kongs-highest-court-brings-greater-certainty-for-commercial-contracts/</w:t>
        </w:r>
      </w:hyperlink>
      <w:r w:rsidR="00D85C1F" w:rsidRPr="0003060E">
        <w:rPr>
          <w:rFonts w:cstheme="minorHAnsi"/>
        </w:rPr>
        <w:t xml:space="preserve">&gt;. </w:t>
      </w:r>
      <w:r w:rsidRPr="0003060E">
        <w:rPr>
          <w:rFonts w:cstheme="minorHAnsi"/>
        </w:rPr>
        <w:t>(Admittedly, the</w:t>
      </w:r>
      <w:r w:rsidR="00913042" w:rsidRPr="0003060E">
        <w:rPr>
          <w:rFonts w:cstheme="minorHAnsi"/>
        </w:rPr>
        <w:t>se</w:t>
      </w:r>
      <w:r w:rsidRPr="0003060E">
        <w:rPr>
          <w:rFonts w:cstheme="minorHAnsi"/>
        </w:rPr>
        <w:t xml:space="preserve"> authors declared that they had successfully argued the case in the Court of Final Appeal!) See also</w:t>
      </w:r>
      <w:r w:rsidR="00060811" w:rsidRPr="0003060E">
        <w:rPr>
          <w:rFonts w:cstheme="minorHAnsi"/>
        </w:rPr>
        <w:t>,</w:t>
      </w:r>
      <w:r w:rsidRPr="0003060E">
        <w:rPr>
          <w:rFonts w:cstheme="minorHAnsi"/>
        </w:rPr>
        <w:t xml:space="preserve"> </w:t>
      </w:r>
      <w:proofErr w:type="spellStart"/>
      <w:r w:rsidRPr="0003060E">
        <w:rPr>
          <w:rFonts w:cstheme="minorHAnsi"/>
        </w:rPr>
        <w:t>eg</w:t>
      </w:r>
      <w:proofErr w:type="spellEnd"/>
      <w:r w:rsidR="00060811" w:rsidRPr="0003060E">
        <w:rPr>
          <w:rFonts w:cstheme="minorHAnsi"/>
        </w:rPr>
        <w:t>,</w:t>
      </w:r>
      <w:r w:rsidRPr="0003060E">
        <w:rPr>
          <w:rFonts w:cstheme="minorHAnsi"/>
        </w:rPr>
        <w:t xml:space="preserve"> </w:t>
      </w:r>
      <w:r w:rsidR="003477EE" w:rsidRPr="0003060E">
        <w:rPr>
          <w:rFonts w:cstheme="minorHAnsi"/>
        </w:rPr>
        <w:t xml:space="preserve">Albert </w:t>
      </w:r>
      <w:proofErr w:type="spellStart"/>
      <w:r w:rsidR="003477EE" w:rsidRPr="0003060E">
        <w:rPr>
          <w:rFonts w:cstheme="minorHAnsi"/>
        </w:rPr>
        <w:t>Monichino</w:t>
      </w:r>
      <w:proofErr w:type="spellEnd"/>
      <w:r w:rsidR="003477EE" w:rsidRPr="0003060E">
        <w:rPr>
          <w:rFonts w:cstheme="minorHAnsi"/>
        </w:rPr>
        <w:t xml:space="preserve"> and Gianluca Rossi</w:t>
      </w:r>
      <w:r w:rsidR="003712C1" w:rsidRPr="0003060E">
        <w:rPr>
          <w:rFonts w:cstheme="minorHAnsi"/>
        </w:rPr>
        <w:t>,</w:t>
      </w:r>
      <w:r w:rsidR="003D3DEE" w:rsidRPr="0003060E">
        <w:rPr>
          <w:rFonts w:cstheme="minorHAnsi"/>
        </w:rPr>
        <w:t xml:space="preserve"> ‘Staying Court Proceedings in the Face of ADR Clauses’</w:t>
      </w:r>
      <w:r w:rsidR="003477EE" w:rsidRPr="0003060E">
        <w:rPr>
          <w:rFonts w:cstheme="minorHAnsi"/>
        </w:rPr>
        <w:t xml:space="preserve"> </w:t>
      </w:r>
      <w:r w:rsidR="00326F35" w:rsidRPr="0003060E">
        <w:rPr>
          <w:rFonts w:cstheme="minorHAnsi"/>
        </w:rPr>
        <w:t xml:space="preserve">(2022) 52(1) </w:t>
      </w:r>
      <w:r w:rsidR="00782DC1" w:rsidRPr="0003060E">
        <w:rPr>
          <w:rFonts w:cstheme="minorHAnsi"/>
          <w:i/>
          <w:iCs/>
        </w:rPr>
        <w:t>Australian Bar Review</w:t>
      </w:r>
      <w:r w:rsidR="00782DC1" w:rsidRPr="0003060E">
        <w:rPr>
          <w:rFonts w:cstheme="minorHAnsi"/>
        </w:rPr>
        <w:t xml:space="preserve"> 94, </w:t>
      </w:r>
      <w:r w:rsidR="008E4456" w:rsidRPr="0003060E">
        <w:rPr>
          <w:rFonts w:cstheme="minorHAnsi"/>
        </w:rPr>
        <w:t>120-123 (praising the Court of Appeal judgment also ruling in favour of admissibility rather than jurisdiction).</w:t>
      </w:r>
    </w:p>
  </w:footnote>
  <w:footnote w:id="133">
    <w:p w14:paraId="425BC457" w14:textId="76A7C467" w:rsidR="00913042" w:rsidRPr="0003060E" w:rsidRDefault="00913042">
      <w:pPr>
        <w:pStyle w:val="FootnoteText"/>
        <w:rPr>
          <w:rFonts w:cstheme="minorHAnsi"/>
        </w:rPr>
      </w:pPr>
      <w:r w:rsidRPr="0003060E">
        <w:rPr>
          <w:rStyle w:val="FootnoteReference"/>
          <w:rFonts w:cstheme="minorHAnsi"/>
        </w:rPr>
        <w:footnoteRef/>
      </w:r>
      <w:r w:rsidRPr="0003060E">
        <w:rPr>
          <w:rFonts w:cstheme="minorHAnsi"/>
        </w:rPr>
        <w:t xml:space="preserve"> Ng (n 1</w:t>
      </w:r>
      <w:r w:rsidR="00507336" w:rsidRPr="0003060E">
        <w:rPr>
          <w:rFonts w:cstheme="minorHAnsi"/>
        </w:rPr>
        <w:t>2</w:t>
      </w:r>
      <w:r w:rsidR="000B7CD5" w:rsidRPr="0003060E">
        <w:rPr>
          <w:rFonts w:cstheme="minorHAnsi"/>
        </w:rPr>
        <w:t>5</w:t>
      </w:r>
      <w:r w:rsidRPr="0003060E">
        <w:rPr>
          <w:rFonts w:cstheme="minorHAnsi"/>
        </w:rPr>
        <w:t>), Chan</w:t>
      </w:r>
      <w:r w:rsidR="00507336" w:rsidRPr="0003060E">
        <w:rPr>
          <w:rFonts w:cstheme="minorHAnsi"/>
        </w:rPr>
        <w:t xml:space="preserve"> and Soon</w:t>
      </w:r>
      <w:r w:rsidRPr="0003060E">
        <w:rPr>
          <w:rFonts w:cstheme="minorHAnsi"/>
        </w:rPr>
        <w:t xml:space="preserve"> (n 1</w:t>
      </w:r>
      <w:r w:rsidR="00507336" w:rsidRPr="0003060E">
        <w:rPr>
          <w:rFonts w:cstheme="minorHAnsi"/>
        </w:rPr>
        <w:t>2</w:t>
      </w:r>
      <w:r w:rsidR="000B7CD5" w:rsidRPr="0003060E">
        <w:rPr>
          <w:rFonts w:cstheme="minorHAnsi"/>
        </w:rPr>
        <w:t>7</w:t>
      </w:r>
      <w:r w:rsidRPr="0003060E">
        <w:rPr>
          <w:rFonts w:cstheme="minorHAnsi"/>
        </w:rPr>
        <w:t xml:space="preserve">), Hwang and Lim (n </w:t>
      </w:r>
      <w:r w:rsidR="00507336" w:rsidRPr="0003060E">
        <w:rPr>
          <w:rFonts w:cstheme="minorHAnsi"/>
        </w:rPr>
        <w:t>12</w:t>
      </w:r>
      <w:r w:rsidR="000B7CD5" w:rsidRPr="0003060E">
        <w:rPr>
          <w:rFonts w:cstheme="minorHAnsi"/>
        </w:rPr>
        <w:t>7</w:t>
      </w:r>
      <w:r w:rsidRPr="0003060E">
        <w:rPr>
          <w:rFonts w:cstheme="minorHAnsi"/>
        </w:rPr>
        <w:t>).</w:t>
      </w:r>
    </w:p>
  </w:footnote>
  <w:footnote w:id="134">
    <w:p w14:paraId="3D08E09A" w14:textId="2734D768" w:rsidR="009D2BD0" w:rsidRPr="0003060E" w:rsidRDefault="009D2BD0">
      <w:pPr>
        <w:pStyle w:val="FootnoteText"/>
        <w:rPr>
          <w:rFonts w:cstheme="minorHAnsi"/>
        </w:rPr>
      </w:pPr>
      <w:r w:rsidRPr="0003060E">
        <w:rPr>
          <w:rStyle w:val="FootnoteReference"/>
          <w:rFonts w:cstheme="minorHAnsi"/>
        </w:rPr>
        <w:footnoteRef/>
      </w:r>
      <w:r w:rsidRPr="0003060E">
        <w:rPr>
          <w:rFonts w:cstheme="minorHAnsi"/>
        </w:rPr>
        <w:t xml:space="preserve"> However, the draft 2023 SIAC Rules provide for an “emergency arbitrator” now to be appointed even before filing of the notice of arbitration. Commentators explain that with multi-tiered dispute resolution clauses, if is “not uncommon” for emergency arbitrators to be challenged because of “non-fulfilment of pre-arbitration steps prior to filing the notice of arbitration”, causing delays. See Anjali </w:t>
      </w:r>
      <w:proofErr w:type="spellStart"/>
      <w:r w:rsidRPr="0003060E">
        <w:rPr>
          <w:rFonts w:cstheme="minorHAnsi"/>
        </w:rPr>
        <w:t>Anchayil</w:t>
      </w:r>
      <w:proofErr w:type="spellEnd"/>
      <w:r w:rsidRPr="0003060E">
        <w:rPr>
          <w:rFonts w:cstheme="minorHAnsi"/>
        </w:rPr>
        <w:t xml:space="preserve"> and Aiman Singh Kl</w:t>
      </w:r>
      <w:r w:rsidR="002C16B8" w:rsidRPr="0003060E">
        <w:rPr>
          <w:rFonts w:cstheme="minorHAnsi"/>
        </w:rPr>
        <w:t>e</w:t>
      </w:r>
      <w:r w:rsidRPr="0003060E">
        <w:rPr>
          <w:rFonts w:cstheme="minorHAnsi"/>
        </w:rPr>
        <w:t xml:space="preserve">r, ‘The 2023 SIAC Draft Rules: Raising the Bar for Efficiency’ </w:t>
      </w:r>
      <w:r w:rsidRPr="0003060E">
        <w:rPr>
          <w:rFonts w:cstheme="minorHAnsi"/>
          <w:i/>
          <w:iCs/>
        </w:rPr>
        <w:t>Kluwer Arbitration Blog</w:t>
      </w:r>
      <w:r w:rsidRPr="0003060E">
        <w:rPr>
          <w:rFonts w:cstheme="minorHAnsi"/>
        </w:rPr>
        <w:t xml:space="preserve"> (Blog</w:t>
      </w:r>
      <w:r w:rsidR="002C16B8" w:rsidRPr="0003060E">
        <w:rPr>
          <w:rFonts w:cstheme="minorHAnsi"/>
        </w:rPr>
        <w:t xml:space="preserve"> Post</w:t>
      </w:r>
      <w:r w:rsidRPr="0003060E">
        <w:rPr>
          <w:rFonts w:cstheme="minorHAnsi"/>
        </w:rPr>
        <w:t>, 26 October 2023) &lt;https://arbitrationblog.kluwerarbitration.com/2023/10/26/the-2023-siac-draft-rules-raising-the-bar-for-efficiency/&gt;.</w:t>
      </w:r>
    </w:p>
  </w:footnote>
  <w:footnote w:id="135">
    <w:p w14:paraId="20151606" w14:textId="2164B926" w:rsidR="00936A06" w:rsidRPr="0003060E" w:rsidRDefault="00936A06" w:rsidP="00936A06">
      <w:pPr>
        <w:pStyle w:val="FootnoteText"/>
        <w:rPr>
          <w:rFonts w:cstheme="minorHAnsi"/>
        </w:rPr>
      </w:pPr>
      <w:r w:rsidRPr="0003060E">
        <w:rPr>
          <w:rStyle w:val="FootnoteReference"/>
          <w:rFonts w:cstheme="minorHAnsi"/>
        </w:rPr>
        <w:footnoteRef/>
      </w:r>
      <w:r w:rsidRPr="0003060E">
        <w:rPr>
          <w:rFonts w:cstheme="minorHAnsi"/>
        </w:rPr>
        <w:t xml:space="preserve"> </w:t>
      </w:r>
      <w:r w:rsidR="00E92AF8" w:rsidRPr="0003060E">
        <w:rPr>
          <w:rFonts w:cstheme="minorHAnsi"/>
        </w:rPr>
        <w:t>This topic therefore raises</w:t>
      </w:r>
      <w:r w:rsidR="00976391" w:rsidRPr="0003060E">
        <w:rPr>
          <w:rFonts w:cstheme="minorHAnsi"/>
        </w:rPr>
        <w:t xml:space="preserve"> somewhat </w:t>
      </w:r>
      <w:r w:rsidR="00E92AF8" w:rsidRPr="0003060E">
        <w:rPr>
          <w:rFonts w:cstheme="minorHAnsi"/>
        </w:rPr>
        <w:t>similar issues as to whether and how courts can be approached to determine whether there is a valid arbitration agreement creating jurisdiction for the tribunal. Some commentators prefer</w:t>
      </w:r>
      <w:r w:rsidR="00A529FC" w:rsidRPr="0003060E">
        <w:rPr>
          <w:rFonts w:cstheme="minorHAnsi"/>
        </w:rPr>
        <w:t xml:space="preserve"> always to</w:t>
      </w:r>
      <w:r w:rsidR="00E92AF8" w:rsidRPr="0003060E">
        <w:rPr>
          <w:rFonts w:cstheme="minorHAnsi"/>
        </w:rPr>
        <w:t xml:space="preserve"> prioritis</w:t>
      </w:r>
      <w:r w:rsidR="00A529FC" w:rsidRPr="0003060E">
        <w:rPr>
          <w:rFonts w:cstheme="minorHAnsi"/>
        </w:rPr>
        <w:t>e</w:t>
      </w:r>
      <w:r w:rsidR="00E92AF8" w:rsidRPr="0003060E">
        <w:rPr>
          <w:rFonts w:cstheme="minorHAnsi"/>
        </w:rPr>
        <w:t xml:space="preserve"> the tribunal’s capacity</w:t>
      </w:r>
      <w:r w:rsidR="007B1451" w:rsidRPr="0003060E">
        <w:rPr>
          <w:rFonts w:cstheme="minorHAnsi"/>
        </w:rPr>
        <w:t xml:space="preserve"> first</w:t>
      </w:r>
      <w:r w:rsidR="00E92AF8" w:rsidRPr="0003060E">
        <w:rPr>
          <w:rFonts w:cstheme="minorHAnsi"/>
        </w:rPr>
        <w:t xml:space="preserve"> to rule on such issues (</w:t>
      </w:r>
      <w:proofErr w:type="spellStart"/>
      <w:r w:rsidR="00137FA1" w:rsidRPr="0003060E">
        <w:rPr>
          <w:rFonts w:cstheme="minorHAnsi"/>
        </w:rPr>
        <w:t>eg</w:t>
      </w:r>
      <w:proofErr w:type="spellEnd"/>
      <w:r w:rsidR="00990A09" w:rsidRPr="0003060E">
        <w:rPr>
          <w:rFonts w:cstheme="minorHAnsi"/>
        </w:rPr>
        <w:t>,</w:t>
      </w:r>
      <w:r w:rsidR="00137FA1" w:rsidRPr="0003060E">
        <w:rPr>
          <w:rFonts w:cstheme="minorHAnsi"/>
        </w:rPr>
        <w:t xml:space="preserve"> Albert </w:t>
      </w:r>
      <w:proofErr w:type="spellStart"/>
      <w:r w:rsidR="00137FA1" w:rsidRPr="0003060E">
        <w:rPr>
          <w:rFonts w:cstheme="minorHAnsi"/>
        </w:rPr>
        <w:t>Monichino</w:t>
      </w:r>
      <w:proofErr w:type="spellEnd"/>
      <w:r w:rsidR="00137FA1" w:rsidRPr="0003060E">
        <w:rPr>
          <w:rFonts w:cstheme="minorHAnsi"/>
        </w:rPr>
        <w:t xml:space="preserve"> and Alex Fawke, ‘International Arbitration in Australia: 2020/2021 in Review </w:t>
      </w:r>
      <w:r w:rsidR="004B5EAF" w:rsidRPr="0003060E">
        <w:rPr>
          <w:rFonts w:cstheme="minorHAnsi"/>
        </w:rPr>
        <w:t xml:space="preserve">and Reflections </w:t>
      </w:r>
      <w:r w:rsidR="000D49FE" w:rsidRPr="0003060E">
        <w:rPr>
          <w:rFonts w:cstheme="minorHAnsi"/>
        </w:rPr>
        <w:t>on a Decade since Reform</w:t>
      </w:r>
      <w:r w:rsidR="004A7514" w:rsidRPr="0003060E">
        <w:rPr>
          <w:rFonts w:cstheme="minorHAnsi"/>
        </w:rPr>
        <w:t xml:space="preserve">’ (2023) 32(3) </w:t>
      </w:r>
      <w:r w:rsidR="004A7514" w:rsidRPr="0003060E">
        <w:rPr>
          <w:rFonts w:cstheme="minorHAnsi"/>
          <w:i/>
          <w:iCs/>
        </w:rPr>
        <w:t>Australian Dispute Resolution Journal</w:t>
      </w:r>
      <w:r w:rsidR="004A7514" w:rsidRPr="0003060E">
        <w:rPr>
          <w:rFonts w:cstheme="minorHAnsi"/>
        </w:rPr>
        <w:t xml:space="preserve"> 154</w:t>
      </w:r>
      <w:r w:rsidR="00A35E17" w:rsidRPr="0003060E">
        <w:rPr>
          <w:rFonts w:cstheme="minorHAnsi"/>
        </w:rPr>
        <w:t xml:space="preserve">, </w:t>
      </w:r>
      <w:r w:rsidR="00E92AF8" w:rsidRPr="0003060E">
        <w:rPr>
          <w:rFonts w:cstheme="minorHAnsi"/>
        </w:rPr>
        <w:t xml:space="preserve">commenting on </w:t>
      </w:r>
      <w:proofErr w:type="spellStart"/>
      <w:r w:rsidR="00E92AF8" w:rsidRPr="0003060E">
        <w:rPr>
          <w:rFonts w:cstheme="minorHAnsi"/>
          <w:i/>
          <w:iCs/>
        </w:rPr>
        <w:t>Degroma</w:t>
      </w:r>
      <w:proofErr w:type="spellEnd"/>
      <w:r w:rsidR="00E92AF8" w:rsidRPr="0003060E">
        <w:rPr>
          <w:rFonts w:cstheme="minorHAnsi"/>
          <w:i/>
          <w:iCs/>
        </w:rPr>
        <w:t xml:space="preserve"> </w:t>
      </w:r>
      <w:r w:rsidR="009A23CA" w:rsidRPr="0003060E">
        <w:rPr>
          <w:rFonts w:cstheme="minorHAnsi"/>
          <w:i/>
          <w:iCs/>
        </w:rPr>
        <w:t>Trading Inc v Viva Energy Australia Pty Ltd</w:t>
      </w:r>
      <w:r w:rsidR="009A23CA" w:rsidRPr="0003060E">
        <w:rPr>
          <w:rFonts w:cstheme="minorHAnsi"/>
        </w:rPr>
        <w:t xml:space="preserve"> [2019] FCA 649</w:t>
      </w:r>
      <w:r w:rsidR="00E92AF8" w:rsidRPr="0003060E">
        <w:rPr>
          <w:rFonts w:cstheme="minorHAnsi"/>
        </w:rPr>
        <w:t>). But the NYC Art II regime does not demand this</w:t>
      </w:r>
      <w:r w:rsidR="00A35E17" w:rsidRPr="0003060E">
        <w:rPr>
          <w:rFonts w:cstheme="minorHAnsi"/>
        </w:rPr>
        <w:t xml:space="preserve"> (see</w:t>
      </w:r>
      <w:r w:rsidR="007B1451" w:rsidRPr="0003060E">
        <w:rPr>
          <w:rFonts w:cstheme="minorHAnsi"/>
        </w:rPr>
        <w:t xml:space="preserve">, </w:t>
      </w:r>
      <w:proofErr w:type="spellStart"/>
      <w:r w:rsidR="007B1451" w:rsidRPr="0003060E">
        <w:rPr>
          <w:rFonts w:cstheme="minorHAnsi"/>
        </w:rPr>
        <w:t>eg</w:t>
      </w:r>
      <w:proofErr w:type="spellEnd"/>
      <w:r w:rsidR="007B1451" w:rsidRPr="0003060E">
        <w:rPr>
          <w:rFonts w:cstheme="minorHAnsi"/>
        </w:rPr>
        <w:t>,</w:t>
      </w:r>
      <w:r w:rsidR="00A35E17" w:rsidRPr="0003060E">
        <w:rPr>
          <w:rFonts w:cstheme="minorHAnsi"/>
        </w:rPr>
        <w:t xml:space="preserve"> </w:t>
      </w:r>
      <w:r w:rsidR="007B1451" w:rsidRPr="0003060E">
        <w:rPr>
          <w:rFonts w:cstheme="minorHAnsi"/>
          <w:i/>
          <w:iCs/>
        </w:rPr>
        <w:t>CPB Contractors Pty Ltd v DEAL S.R.L.</w:t>
      </w:r>
      <w:r w:rsidR="007B1451" w:rsidRPr="0003060E">
        <w:rPr>
          <w:rFonts w:cstheme="minorHAnsi"/>
        </w:rPr>
        <w:t xml:space="preserve"> [2021] NSWSC 820</w:t>
      </w:r>
      <w:r w:rsidR="00A35E17" w:rsidRPr="0003060E">
        <w:rPr>
          <w:rFonts w:cstheme="minorHAnsi"/>
        </w:rPr>
        <w:t>). N</w:t>
      </w:r>
      <w:r w:rsidR="00E92AF8" w:rsidRPr="0003060E">
        <w:rPr>
          <w:rFonts w:cstheme="minorHAnsi"/>
        </w:rPr>
        <w:t>or</w:t>
      </w:r>
      <w:r w:rsidR="007B1451" w:rsidRPr="0003060E">
        <w:rPr>
          <w:rFonts w:cstheme="minorHAnsi"/>
        </w:rPr>
        <w:t>,</w:t>
      </w:r>
      <w:r w:rsidR="00E92AF8" w:rsidRPr="0003060E">
        <w:rPr>
          <w:rFonts w:cstheme="minorHAnsi"/>
        </w:rPr>
        <w:t xml:space="preserve"> albeit more debatably</w:t>
      </w:r>
      <w:r w:rsidR="007B1451" w:rsidRPr="0003060E">
        <w:rPr>
          <w:rFonts w:cstheme="minorHAnsi"/>
        </w:rPr>
        <w:t xml:space="preserve">, </w:t>
      </w:r>
      <w:r w:rsidR="00E92AF8" w:rsidRPr="0003060E">
        <w:rPr>
          <w:rFonts w:cstheme="minorHAnsi"/>
        </w:rPr>
        <w:t>does the combination of ML Arts 8 and 16</w:t>
      </w:r>
      <w:r w:rsidR="007B1451" w:rsidRPr="0003060E">
        <w:rPr>
          <w:rFonts w:cstheme="minorHAnsi"/>
        </w:rPr>
        <w:t xml:space="preserve"> for seat courts</w:t>
      </w:r>
      <w:r w:rsidR="009A23CA" w:rsidRPr="0003060E">
        <w:rPr>
          <w:rFonts w:cstheme="minorHAnsi"/>
        </w:rPr>
        <w:t>. (See</w:t>
      </w:r>
      <w:r w:rsidR="007F558C" w:rsidRPr="0003060E">
        <w:rPr>
          <w:rFonts w:cstheme="minorHAnsi"/>
        </w:rPr>
        <w:t>,</w:t>
      </w:r>
      <w:r w:rsidR="009A23CA" w:rsidRPr="0003060E">
        <w:rPr>
          <w:rFonts w:cstheme="minorHAnsi"/>
        </w:rPr>
        <w:t xml:space="preserve"> </w:t>
      </w:r>
      <w:proofErr w:type="spellStart"/>
      <w:r w:rsidR="00E92AF8" w:rsidRPr="0003060E">
        <w:rPr>
          <w:rFonts w:cstheme="minorHAnsi"/>
        </w:rPr>
        <w:t>eg</w:t>
      </w:r>
      <w:proofErr w:type="spellEnd"/>
      <w:r w:rsidR="007F558C" w:rsidRPr="0003060E">
        <w:rPr>
          <w:rFonts w:cstheme="minorHAnsi"/>
        </w:rPr>
        <w:t>,</w:t>
      </w:r>
      <w:r w:rsidR="00E92AF8" w:rsidRPr="0003060E">
        <w:rPr>
          <w:rFonts w:cstheme="minorHAnsi"/>
        </w:rPr>
        <w:t xml:space="preserve"> </w:t>
      </w:r>
      <w:proofErr w:type="spellStart"/>
      <w:r w:rsidR="00E92AF8" w:rsidRPr="0003060E">
        <w:rPr>
          <w:rFonts w:cstheme="minorHAnsi"/>
          <w:i/>
          <w:iCs/>
        </w:rPr>
        <w:t>Tomolugen</w:t>
      </w:r>
      <w:proofErr w:type="spellEnd"/>
      <w:r w:rsidR="009A23CA" w:rsidRPr="0003060E">
        <w:rPr>
          <w:rFonts w:cstheme="minorHAnsi"/>
          <w:i/>
          <w:iCs/>
        </w:rPr>
        <w:t xml:space="preserve"> </w:t>
      </w:r>
      <w:r w:rsidR="00CC36AA" w:rsidRPr="0003060E">
        <w:rPr>
          <w:rFonts w:cstheme="minorHAnsi"/>
          <w:i/>
          <w:iCs/>
        </w:rPr>
        <w:t>Holdings L</w:t>
      </w:r>
      <w:r w:rsidR="00990A09" w:rsidRPr="0003060E">
        <w:rPr>
          <w:rFonts w:cstheme="minorHAnsi"/>
          <w:i/>
          <w:iCs/>
        </w:rPr>
        <w:t>t</w:t>
      </w:r>
      <w:r w:rsidR="00CC36AA" w:rsidRPr="0003060E">
        <w:rPr>
          <w:rFonts w:cstheme="minorHAnsi"/>
          <w:i/>
          <w:iCs/>
        </w:rPr>
        <w:t>d and another v Silica Investors</w:t>
      </w:r>
      <w:r w:rsidR="00CC36AA" w:rsidRPr="0003060E">
        <w:rPr>
          <w:rFonts w:cstheme="minorHAnsi"/>
        </w:rPr>
        <w:t xml:space="preserve"> [</w:t>
      </w:r>
      <w:r w:rsidR="00E92AF8" w:rsidRPr="0003060E">
        <w:rPr>
          <w:rFonts w:cstheme="minorHAnsi"/>
        </w:rPr>
        <w:t>2015</w:t>
      </w:r>
      <w:r w:rsidR="00CC36AA" w:rsidRPr="0003060E">
        <w:rPr>
          <w:rFonts w:cstheme="minorHAnsi"/>
        </w:rPr>
        <w:t>]</w:t>
      </w:r>
      <w:r w:rsidR="00E92AF8" w:rsidRPr="0003060E">
        <w:rPr>
          <w:rFonts w:cstheme="minorHAnsi"/>
        </w:rPr>
        <w:t xml:space="preserve"> SGCA</w:t>
      </w:r>
      <w:r w:rsidR="00CC36AA" w:rsidRPr="0003060E">
        <w:rPr>
          <w:rFonts w:cstheme="minorHAnsi"/>
        </w:rPr>
        <w:t xml:space="preserve"> 57</w:t>
      </w:r>
      <w:r w:rsidR="00E92AF8" w:rsidRPr="0003060E">
        <w:rPr>
          <w:rFonts w:cstheme="minorHAnsi"/>
        </w:rPr>
        <w:t xml:space="preserve"> where no tribunal had been formed, and </w:t>
      </w:r>
      <w:r w:rsidR="00CC36AA" w:rsidRPr="0003060E">
        <w:rPr>
          <w:rFonts w:cstheme="minorHAnsi"/>
          <w:i/>
          <w:iCs/>
        </w:rPr>
        <w:t>Malini Ventura v Knight Capital Pte Ltd and others</w:t>
      </w:r>
      <w:r w:rsidR="00CC36AA" w:rsidRPr="0003060E">
        <w:rPr>
          <w:rFonts w:cstheme="minorHAnsi"/>
        </w:rPr>
        <w:t xml:space="preserve"> [2015] SGHC 225 </w:t>
      </w:r>
      <w:r w:rsidR="00E92AF8" w:rsidRPr="0003060E">
        <w:rPr>
          <w:rFonts w:cstheme="minorHAnsi"/>
        </w:rPr>
        <w:t xml:space="preserve">where a tribunal had </w:t>
      </w:r>
      <w:r w:rsidR="009A23CA" w:rsidRPr="0003060E">
        <w:rPr>
          <w:rFonts w:cstheme="minorHAnsi"/>
        </w:rPr>
        <w:t xml:space="preserve">even </w:t>
      </w:r>
      <w:r w:rsidR="00E92AF8" w:rsidRPr="0003060E">
        <w:rPr>
          <w:rFonts w:cstheme="minorHAnsi"/>
        </w:rPr>
        <w:t>been formed</w:t>
      </w:r>
      <w:r w:rsidR="009A23CA" w:rsidRPr="0003060E">
        <w:rPr>
          <w:rFonts w:cstheme="minorHAnsi"/>
        </w:rPr>
        <w:t xml:space="preserve"> but Prakash J did not simply require it first to rule on the challenge to the clause providing for Singapore-seated arbitration</w:t>
      </w:r>
      <w:r w:rsidR="00E92AF8" w:rsidRPr="0003060E">
        <w:rPr>
          <w:rFonts w:cstheme="minorHAnsi"/>
        </w:rPr>
        <w:t>.</w:t>
      </w:r>
      <w:r w:rsidR="009A23CA" w:rsidRPr="0003060E">
        <w:rPr>
          <w:rFonts w:cstheme="minorHAnsi"/>
        </w:rPr>
        <w:t>)</w:t>
      </w:r>
      <w:r w:rsidR="00E92AF8" w:rsidRPr="0003060E">
        <w:rPr>
          <w:rFonts w:cstheme="minorHAnsi"/>
        </w:rPr>
        <w:t xml:space="preserve"> The better view is that a court can be approached to rule on this issue (at least before the tribunal has been constituted, as under Germany’s add-on to the ML) but it should only decide it at the stay stage on a prima facie basis, then leaving it potentially for the tribunal and then later courts to review fully.</w:t>
      </w:r>
      <w:r w:rsidR="002F1A0B" w:rsidRPr="0003060E">
        <w:rPr>
          <w:rFonts w:cstheme="minorHAnsi"/>
        </w:rPr>
        <w:t xml:space="preserve"> (See generally G</w:t>
      </w:r>
      <w:r w:rsidR="00B864D0" w:rsidRPr="0003060E">
        <w:rPr>
          <w:rFonts w:cstheme="minorHAnsi"/>
        </w:rPr>
        <w:t>reenberg et al (n 4</w:t>
      </w:r>
      <w:r w:rsidR="00507336" w:rsidRPr="0003060E">
        <w:rPr>
          <w:rFonts w:cstheme="minorHAnsi"/>
        </w:rPr>
        <w:t>7</w:t>
      </w:r>
      <w:r w:rsidR="00B864D0" w:rsidRPr="0003060E">
        <w:rPr>
          <w:rFonts w:cstheme="minorHAnsi"/>
        </w:rPr>
        <w:t>)</w:t>
      </w:r>
      <w:r w:rsidR="002F1A0B" w:rsidRPr="0003060E">
        <w:rPr>
          <w:rFonts w:cstheme="minorHAnsi"/>
        </w:rPr>
        <w:t xml:space="preserve"> 218-22 and 230</w:t>
      </w:r>
      <w:r w:rsidR="00B864D0" w:rsidRPr="0003060E">
        <w:rPr>
          <w:rFonts w:cstheme="minorHAnsi"/>
        </w:rPr>
        <w:t>.</w:t>
      </w:r>
      <w:r w:rsidR="002F1A0B" w:rsidRPr="0003060E">
        <w:rPr>
          <w:rFonts w:cstheme="minorHAnsi"/>
        </w:rPr>
        <w:t>)</w:t>
      </w:r>
      <w:r w:rsidR="00E92AF8" w:rsidRPr="0003060E">
        <w:rPr>
          <w:rFonts w:cstheme="minorHAnsi"/>
        </w:rPr>
        <w:t xml:space="preserve"> However, the question </w:t>
      </w:r>
      <w:r w:rsidR="00A529FC" w:rsidRPr="0003060E">
        <w:rPr>
          <w:rFonts w:cstheme="minorHAnsi"/>
        </w:rPr>
        <w:t xml:space="preserve">is finely balanced </w:t>
      </w:r>
      <w:r w:rsidR="007B1451" w:rsidRPr="0003060E">
        <w:rPr>
          <w:rFonts w:cstheme="minorHAnsi"/>
        </w:rPr>
        <w:t xml:space="preserve">under the ML </w:t>
      </w:r>
      <w:r w:rsidR="00A529FC" w:rsidRPr="0003060E">
        <w:rPr>
          <w:rFonts w:cstheme="minorHAnsi"/>
        </w:rPr>
        <w:t xml:space="preserve">and </w:t>
      </w:r>
      <w:r w:rsidR="00E92AF8" w:rsidRPr="0003060E">
        <w:rPr>
          <w:rFonts w:cstheme="minorHAnsi"/>
        </w:rPr>
        <w:t>deserves wider public discussion</w:t>
      </w:r>
      <w:r w:rsidR="007B1451" w:rsidRPr="0003060E">
        <w:rPr>
          <w:rFonts w:cstheme="minorHAnsi"/>
        </w:rPr>
        <w:t>,</w:t>
      </w:r>
      <w:r w:rsidR="00E92AF8" w:rsidRPr="0003060E">
        <w:rPr>
          <w:rFonts w:cstheme="minorHAnsi"/>
        </w:rPr>
        <w:t xml:space="preserve"> leading preferably to legislative clarification </w:t>
      </w:r>
      <w:r w:rsidR="002F1A0B" w:rsidRPr="0003060E">
        <w:rPr>
          <w:rFonts w:cstheme="minorHAnsi"/>
        </w:rPr>
        <w:t>particularly in</w:t>
      </w:r>
      <w:r w:rsidR="00E92AF8" w:rsidRPr="0003060E">
        <w:rPr>
          <w:rFonts w:cstheme="minorHAnsi"/>
        </w:rPr>
        <w:t xml:space="preserve"> ML-based regimes</w:t>
      </w:r>
      <w:r w:rsidR="007B1451" w:rsidRPr="0003060E">
        <w:rPr>
          <w:rFonts w:cstheme="minorHAnsi"/>
        </w:rPr>
        <w:t xml:space="preserve"> (as occurred under German law)</w:t>
      </w:r>
      <w:r w:rsidR="00E92AF8" w:rsidRPr="0003060E">
        <w:rPr>
          <w:rFonts w:cstheme="minorHAnsi"/>
        </w:rPr>
        <w:t>.</w:t>
      </w:r>
    </w:p>
  </w:footnote>
  <w:footnote w:id="136">
    <w:p w14:paraId="694A5E64" w14:textId="77777777" w:rsidR="00976391" w:rsidRPr="0003060E" w:rsidRDefault="00087EEF" w:rsidP="00976391">
      <w:pPr>
        <w:autoSpaceDE w:val="0"/>
        <w:autoSpaceDN w:val="0"/>
        <w:adjustRightInd w:val="0"/>
        <w:rPr>
          <w:rFonts w:asciiTheme="minorHAnsi" w:hAnsiTheme="minorHAnsi" w:cstheme="minorHAnsi"/>
          <w:sz w:val="20"/>
          <w:szCs w:val="20"/>
        </w:rPr>
      </w:pPr>
      <w:r w:rsidRPr="0003060E">
        <w:rPr>
          <w:rStyle w:val="FootnoteReference"/>
          <w:rFonts w:asciiTheme="minorHAnsi" w:hAnsiTheme="minorHAnsi" w:cstheme="minorHAnsi"/>
          <w:sz w:val="20"/>
          <w:szCs w:val="20"/>
        </w:rPr>
        <w:footnoteRef/>
      </w:r>
      <w:r w:rsidRPr="0003060E">
        <w:rPr>
          <w:rFonts w:asciiTheme="minorHAnsi" w:hAnsiTheme="minorHAnsi" w:cstheme="minorHAnsi"/>
          <w:sz w:val="20"/>
          <w:szCs w:val="20"/>
        </w:rPr>
        <w:t xml:space="preserve"> </w:t>
      </w:r>
      <w:r w:rsidR="00A35E17" w:rsidRPr="0003060E">
        <w:rPr>
          <w:rFonts w:asciiTheme="minorHAnsi" w:hAnsiTheme="minorHAnsi" w:cstheme="minorHAnsi"/>
          <w:i/>
          <w:iCs/>
          <w:sz w:val="20"/>
          <w:szCs w:val="20"/>
        </w:rPr>
        <w:t xml:space="preserve">WCX M4-M5 Link AT Pty Ltd v </w:t>
      </w:r>
      <w:proofErr w:type="spellStart"/>
      <w:r w:rsidR="00A35E17" w:rsidRPr="0003060E">
        <w:rPr>
          <w:rFonts w:asciiTheme="minorHAnsi" w:hAnsiTheme="minorHAnsi" w:cstheme="minorHAnsi"/>
          <w:i/>
          <w:iCs/>
          <w:sz w:val="20"/>
          <w:szCs w:val="20"/>
        </w:rPr>
        <w:t>Acciona</w:t>
      </w:r>
      <w:proofErr w:type="spellEnd"/>
      <w:r w:rsidR="00A35E17" w:rsidRPr="0003060E">
        <w:rPr>
          <w:rFonts w:asciiTheme="minorHAnsi" w:hAnsiTheme="minorHAnsi" w:cstheme="minorHAnsi"/>
          <w:i/>
          <w:iCs/>
          <w:sz w:val="20"/>
          <w:szCs w:val="20"/>
        </w:rPr>
        <w:t xml:space="preserve"> Infrastructure Projects Australia Pty Ltd (No 2)</w:t>
      </w:r>
      <w:r w:rsidR="00A35E17" w:rsidRPr="0003060E">
        <w:rPr>
          <w:rFonts w:asciiTheme="minorHAnsi" w:hAnsiTheme="minorHAnsi" w:cstheme="minorHAnsi"/>
          <w:sz w:val="20"/>
          <w:szCs w:val="20"/>
        </w:rPr>
        <w:t xml:space="preserve"> [2022] NSWSC 505 at [106]-[121], Rees J issued a stay to refer the matter to arbitration even though the prior agreed ADR steps had not been completed, by holding that such non-compliance did not make the arbitration agreement “inoperative”, after reviewing some English, Hong Kong and Australian case law. Her Honour distinguished or declined to follow a decision of Hammerschlag J in </w:t>
      </w:r>
      <w:r w:rsidR="00F45587" w:rsidRPr="0003060E">
        <w:rPr>
          <w:rFonts w:asciiTheme="minorHAnsi" w:hAnsiTheme="minorHAnsi" w:cstheme="minorHAnsi"/>
          <w:i/>
          <w:iCs/>
          <w:sz w:val="20"/>
          <w:szCs w:val="20"/>
        </w:rPr>
        <w:t>John Holland Pty Limited v Kellogg Brown &amp; Root Pty Ltd</w:t>
      </w:r>
      <w:r w:rsidR="00F45587" w:rsidRPr="0003060E">
        <w:rPr>
          <w:rFonts w:asciiTheme="minorHAnsi" w:hAnsiTheme="minorHAnsi" w:cstheme="minorHAnsi"/>
          <w:sz w:val="20"/>
          <w:szCs w:val="20"/>
        </w:rPr>
        <w:t xml:space="preserve"> [2015] NSWSC 451</w:t>
      </w:r>
      <w:r w:rsidR="00A35E17" w:rsidRPr="0003060E">
        <w:rPr>
          <w:rFonts w:asciiTheme="minorHAnsi" w:hAnsiTheme="minorHAnsi" w:cstheme="minorHAnsi"/>
          <w:sz w:val="20"/>
          <w:szCs w:val="20"/>
        </w:rPr>
        <w:t>, which suggested the contrary albeit where parties had expressly made compliance with the pre-arbitration steps a condition precedent to arbitration.</w:t>
      </w:r>
      <w:r w:rsidR="00F45587" w:rsidRPr="0003060E">
        <w:rPr>
          <w:rFonts w:asciiTheme="minorHAnsi" w:hAnsiTheme="minorHAnsi" w:cstheme="minorHAnsi"/>
          <w:sz w:val="20"/>
          <w:szCs w:val="20"/>
        </w:rPr>
        <w:t xml:space="preserve"> </w:t>
      </w:r>
      <w:proofErr w:type="gramStart"/>
      <w:r w:rsidR="00976391" w:rsidRPr="0003060E">
        <w:rPr>
          <w:rFonts w:asciiTheme="minorHAnsi" w:hAnsiTheme="minorHAnsi" w:cstheme="minorHAnsi"/>
          <w:sz w:val="20"/>
          <w:szCs w:val="20"/>
        </w:rPr>
        <w:t xml:space="preserve">Without giving further authorities, </w:t>
      </w:r>
      <w:r w:rsidR="00F45587" w:rsidRPr="0003060E">
        <w:rPr>
          <w:rFonts w:asciiTheme="minorHAnsi" w:hAnsiTheme="minorHAnsi" w:cstheme="minorHAnsi"/>
          <w:sz w:val="20"/>
          <w:szCs w:val="20"/>
        </w:rPr>
        <w:t>Rees J</w:t>
      </w:r>
      <w:proofErr w:type="gramEnd"/>
      <w:r w:rsidR="00F45587" w:rsidRPr="0003060E">
        <w:rPr>
          <w:rFonts w:asciiTheme="minorHAnsi" w:hAnsiTheme="minorHAnsi" w:cstheme="minorHAnsi"/>
          <w:sz w:val="20"/>
          <w:szCs w:val="20"/>
        </w:rPr>
        <w:t xml:space="preserve"> stated at [117] (</w:t>
      </w:r>
      <w:r w:rsidR="00F45587" w:rsidRPr="0003060E">
        <w:rPr>
          <w:rFonts w:asciiTheme="minorHAnsi" w:hAnsiTheme="minorHAnsi" w:cstheme="minorHAnsi"/>
          <w:i/>
          <w:iCs/>
          <w:sz w:val="20"/>
          <w:szCs w:val="20"/>
        </w:rPr>
        <w:t>emphasis added</w:t>
      </w:r>
      <w:r w:rsidR="00F45587" w:rsidRPr="0003060E">
        <w:rPr>
          <w:rFonts w:asciiTheme="minorHAnsi" w:hAnsiTheme="minorHAnsi" w:cstheme="minorHAnsi"/>
          <w:sz w:val="20"/>
          <w:szCs w:val="20"/>
        </w:rPr>
        <w:t>):</w:t>
      </w:r>
    </w:p>
    <w:p w14:paraId="4B8CC5FB" w14:textId="77777777" w:rsidR="00976391" w:rsidRPr="0003060E" w:rsidRDefault="00F45587" w:rsidP="00976391">
      <w:pPr>
        <w:autoSpaceDE w:val="0"/>
        <w:autoSpaceDN w:val="0"/>
        <w:adjustRightInd w:val="0"/>
        <w:ind w:left="720"/>
        <w:rPr>
          <w:rFonts w:asciiTheme="minorHAnsi" w:hAnsiTheme="minorHAnsi" w:cstheme="minorHAnsi"/>
          <w:sz w:val="20"/>
          <w:szCs w:val="20"/>
        </w:rPr>
      </w:pPr>
      <w:r w:rsidRPr="0003060E">
        <w:rPr>
          <w:rFonts w:asciiTheme="minorHAnsi" w:hAnsiTheme="minorHAnsi" w:cstheme="minorHAnsi"/>
          <w:sz w:val="20"/>
          <w:szCs w:val="20"/>
        </w:rPr>
        <w:t xml:space="preserve">“Generally, </w:t>
      </w:r>
      <w:r w:rsidR="00976391" w:rsidRPr="0003060E">
        <w:rPr>
          <w:rFonts w:asciiTheme="minorHAnsi" w:hAnsiTheme="minorHAnsi" w:cstheme="minorHAnsi"/>
          <w:sz w:val="20"/>
          <w:szCs w:val="20"/>
        </w:rPr>
        <w:t>‘</w:t>
      </w:r>
      <w:r w:rsidRPr="0003060E">
        <w:rPr>
          <w:rFonts w:asciiTheme="minorHAnsi" w:hAnsiTheme="minorHAnsi" w:cstheme="minorHAnsi"/>
          <w:sz w:val="20"/>
          <w:szCs w:val="20"/>
        </w:rPr>
        <w:t>inoperative</w:t>
      </w:r>
      <w:r w:rsidR="00976391" w:rsidRPr="0003060E">
        <w:rPr>
          <w:rFonts w:asciiTheme="minorHAnsi" w:hAnsiTheme="minorHAnsi" w:cstheme="minorHAnsi"/>
          <w:sz w:val="20"/>
          <w:szCs w:val="20"/>
        </w:rPr>
        <w:t>’</w:t>
      </w:r>
      <w:r w:rsidRPr="0003060E">
        <w:rPr>
          <w:rFonts w:asciiTheme="minorHAnsi" w:hAnsiTheme="minorHAnsi" w:cstheme="minorHAnsi"/>
          <w:sz w:val="20"/>
          <w:szCs w:val="20"/>
        </w:rPr>
        <w:t xml:space="preserve"> has been interpreted across jurisdictions implementing the [NYC] and the [ML] as meaning that the arbitration agreement has ceased to have effect </w:t>
      </w:r>
      <w:r w:rsidRPr="0003060E">
        <w:rPr>
          <w:rFonts w:asciiTheme="minorHAnsi" w:hAnsiTheme="minorHAnsi" w:cstheme="minorHAnsi"/>
          <w:i/>
          <w:iCs/>
          <w:sz w:val="20"/>
          <w:szCs w:val="20"/>
        </w:rPr>
        <w:t>for the future</w:t>
      </w:r>
      <w:r w:rsidRPr="0003060E">
        <w:rPr>
          <w:rFonts w:asciiTheme="minorHAnsi" w:hAnsiTheme="minorHAnsi" w:cstheme="minorHAnsi"/>
          <w:sz w:val="20"/>
          <w:szCs w:val="20"/>
        </w:rPr>
        <w:t>, either for a specific type of dispute or at large</w:t>
      </w:r>
      <w:r w:rsidR="00976391" w:rsidRPr="0003060E">
        <w:rPr>
          <w:rFonts w:asciiTheme="minorHAnsi" w:hAnsiTheme="minorHAnsi" w:cstheme="minorHAnsi"/>
          <w:sz w:val="20"/>
          <w:szCs w:val="20"/>
        </w:rPr>
        <w:t xml:space="preserve">. An arbitration agreement may be “inoperative” as it is unenforceable, has been amended by a further agreement, is the subject of </w:t>
      </w:r>
      <w:r w:rsidR="00976391" w:rsidRPr="0003060E">
        <w:rPr>
          <w:rFonts w:asciiTheme="minorHAnsi" w:hAnsiTheme="minorHAnsi" w:cstheme="minorHAnsi"/>
          <w:i/>
          <w:iCs/>
          <w:sz w:val="20"/>
          <w:szCs w:val="20"/>
        </w:rPr>
        <w:t>res judicata</w:t>
      </w:r>
      <w:r w:rsidR="00976391" w:rsidRPr="0003060E">
        <w:rPr>
          <w:rFonts w:asciiTheme="minorHAnsi" w:hAnsiTheme="minorHAnsi" w:cstheme="minorHAnsi"/>
          <w:sz w:val="20"/>
          <w:szCs w:val="20"/>
        </w:rPr>
        <w:t>, has been set aside by a Court, has been frustrated or discharged by breach</w:t>
      </w:r>
      <w:r w:rsidR="00976391" w:rsidRPr="0003060E">
        <w:rPr>
          <w:rFonts w:asciiTheme="minorHAnsi" w:hAnsiTheme="minorHAnsi" w:cstheme="minorHAnsi"/>
          <w:i/>
          <w:iCs/>
          <w:sz w:val="20"/>
          <w:szCs w:val="20"/>
        </w:rPr>
        <w:t xml:space="preserve"> </w:t>
      </w:r>
      <w:r w:rsidR="00976391" w:rsidRPr="0003060E">
        <w:rPr>
          <w:rFonts w:asciiTheme="minorHAnsi" w:hAnsiTheme="minorHAnsi" w:cstheme="minorHAnsi"/>
          <w:sz w:val="20"/>
          <w:szCs w:val="20"/>
        </w:rPr>
        <w:t xml:space="preserve">or by reason of waiver, estoppel, </w:t>
      </w:r>
      <w:proofErr w:type="gramStart"/>
      <w:r w:rsidR="00976391" w:rsidRPr="0003060E">
        <w:rPr>
          <w:rFonts w:asciiTheme="minorHAnsi" w:hAnsiTheme="minorHAnsi" w:cstheme="minorHAnsi"/>
          <w:sz w:val="20"/>
          <w:szCs w:val="20"/>
        </w:rPr>
        <w:t>election</w:t>
      </w:r>
      <w:proofErr w:type="gramEnd"/>
      <w:r w:rsidR="00976391" w:rsidRPr="0003060E">
        <w:rPr>
          <w:rFonts w:asciiTheme="minorHAnsi" w:hAnsiTheme="minorHAnsi" w:cstheme="minorHAnsi"/>
          <w:sz w:val="20"/>
          <w:szCs w:val="20"/>
        </w:rPr>
        <w:t xml:space="preserve"> or abandonment or has otherwise been repudiated”. </w:t>
      </w:r>
    </w:p>
    <w:p w14:paraId="443B6238" w14:textId="6514018F" w:rsidR="00087EEF" w:rsidRPr="0003060E" w:rsidRDefault="00976391" w:rsidP="00976391">
      <w:pPr>
        <w:autoSpaceDE w:val="0"/>
        <w:autoSpaceDN w:val="0"/>
        <w:adjustRightInd w:val="0"/>
        <w:rPr>
          <w:rFonts w:asciiTheme="minorHAnsi" w:hAnsiTheme="minorHAnsi" w:cstheme="minorHAnsi"/>
          <w:sz w:val="20"/>
          <w:szCs w:val="20"/>
        </w:rPr>
      </w:pPr>
      <w:r w:rsidRPr="0003060E">
        <w:rPr>
          <w:rFonts w:asciiTheme="minorHAnsi" w:hAnsiTheme="minorHAnsi" w:cstheme="minorHAnsi"/>
          <w:sz w:val="20"/>
          <w:szCs w:val="20"/>
        </w:rPr>
        <w:t xml:space="preserve">The </w:t>
      </w:r>
      <w:hyperlink r:id="rId50" w:tgtFrame="_blank" w:history="1"/>
      <w:r w:rsidRPr="0003060E">
        <w:rPr>
          <w:rFonts w:asciiTheme="minorHAnsi" w:hAnsiTheme="minorHAnsi" w:cstheme="minorHAnsi"/>
          <w:sz w:val="20"/>
          <w:szCs w:val="20"/>
        </w:rPr>
        <w:t xml:space="preserve"> </w:t>
      </w:r>
      <w:hyperlink r:id="rId51" w:tgtFrame="_blank" w:history="1">
        <w:r w:rsidRPr="0003060E">
          <w:rPr>
            <w:rStyle w:val="Hyperlink"/>
            <w:rFonts w:asciiTheme="minorHAnsi" w:hAnsiTheme="minorHAnsi" w:cstheme="minorHAnsi"/>
            <w:i/>
            <w:iCs/>
            <w:color w:val="000000" w:themeColor="text1"/>
            <w:sz w:val="20"/>
            <w:szCs w:val="20"/>
            <w:u w:val="none"/>
          </w:rPr>
          <w:t>UNCITRAL 2012 Digest of Case Law on the Model Law on International Commercial Arbitration </w:t>
        </w:r>
      </w:hyperlink>
      <w:r w:rsidRPr="0003060E">
        <w:rPr>
          <w:rFonts w:asciiTheme="minorHAnsi" w:hAnsiTheme="minorHAnsi" w:cstheme="minorHAnsi"/>
          <w:sz w:val="20"/>
          <w:szCs w:val="20"/>
        </w:rPr>
        <w:t>(available at &lt;https://uncitral.un.org/en/case_law/digests&gt;), for example, does note at [17] that a Ugandan court in 2004 (and a Hong Kong court in 1999, earlier cited by her Honour) found that non-compliance with a prior ADR step did not make the arbitration agreement inoperative. But relatedly this Digest at [16] remarked: “Several cases stand for the proposition that the substantive requirement set out in [ML] article 8 will not be met if the parties’ undertaking to arbitrate is subject to a condition that has not been fulfilled'.</w:t>
      </w:r>
    </w:p>
  </w:footnote>
  <w:footnote w:id="137">
    <w:p w14:paraId="208AD340" w14:textId="37DF93A3" w:rsidR="00936A06" w:rsidRPr="0003060E" w:rsidRDefault="00936A06">
      <w:pPr>
        <w:pStyle w:val="FootnoteText"/>
        <w:rPr>
          <w:rFonts w:cstheme="minorHAnsi"/>
        </w:rPr>
      </w:pPr>
      <w:r w:rsidRPr="0003060E">
        <w:rPr>
          <w:rStyle w:val="FootnoteReference"/>
          <w:rFonts w:cstheme="minorHAnsi"/>
        </w:rPr>
        <w:footnoteRef/>
      </w:r>
      <w:r w:rsidRPr="0003060E">
        <w:rPr>
          <w:rFonts w:cstheme="minorHAnsi"/>
        </w:rPr>
        <w:t xml:space="preserve"> I am grateful to Dr Winnie </w:t>
      </w:r>
      <w:r w:rsidR="00990A09" w:rsidRPr="0003060E">
        <w:rPr>
          <w:rFonts w:cstheme="minorHAnsi"/>
        </w:rPr>
        <w:t xml:space="preserve">Jo-Mei </w:t>
      </w:r>
      <w:r w:rsidRPr="0003060E">
        <w:rPr>
          <w:rFonts w:cstheme="minorHAnsi"/>
        </w:rPr>
        <w:t xml:space="preserve">Ma </w:t>
      </w:r>
      <w:r w:rsidR="00990A09" w:rsidRPr="0003060E">
        <w:rPr>
          <w:rFonts w:cstheme="minorHAnsi"/>
        </w:rPr>
        <w:t>and Louise Parsons</w:t>
      </w:r>
      <w:r w:rsidRPr="0003060E">
        <w:rPr>
          <w:rFonts w:cstheme="minorHAnsi"/>
        </w:rPr>
        <w:t xml:space="preserve"> for highlighting this timing issue, in their comparative law analysis presented </w:t>
      </w:r>
      <w:r w:rsidR="00EC4CF6" w:rsidRPr="0003060E">
        <w:rPr>
          <w:rFonts w:cstheme="minorHAnsi"/>
        </w:rPr>
        <w:t xml:space="preserve">at </w:t>
      </w:r>
      <w:r w:rsidRPr="0003060E">
        <w:rPr>
          <w:rFonts w:cstheme="minorHAnsi"/>
        </w:rPr>
        <w:t xml:space="preserve">a book workshop hosted by Griffith University Law School on </w:t>
      </w:r>
      <w:r w:rsidR="00E92AF8" w:rsidRPr="0003060E">
        <w:rPr>
          <w:rFonts w:cstheme="minorHAnsi"/>
        </w:rPr>
        <w:t>14 August</w:t>
      </w:r>
      <w:r w:rsidRPr="0003060E">
        <w:rPr>
          <w:rFonts w:cstheme="minorHAnsi"/>
        </w:rPr>
        <w:t xml:space="preserve"> 2023.</w:t>
      </w:r>
    </w:p>
  </w:footnote>
  <w:footnote w:id="138">
    <w:p w14:paraId="5A9341F8" w14:textId="73223935" w:rsidR="008E15E7" w:rsidRPr="0003060E" w:rsidRDefault="008E15E7">
      <w:pPr>
        <w:pStyle w:val="FootnoteText"/>
        <w:rPr>
          <w:rFonts w:cstheme="minorHAnsi"/>
        </w:rPr>
      </w:pPr>
      <w:r w:rsidRPr="0003060E">
        <w:rPr>
          <w:rStyle w:val="FootnoteReference"/>
          <w:rFonts w:cstheme="minorHAnsi"/>
        </w:rPr>
        <w:footnoteRef/>
      </w:r>
      <w:r w:rsidRPr="0003060E">
        <w:rPr>
          <w:rFonts w:cstheme="minorHAnsi"/>
        </w:rPr>
        <w:t xml:space="preserve"> Rudolf </w:t>
      </w:r>
      <w:proofErr w:type="spellStart"/>
      <w:r w:rsidRPr="0003060E">
        <w:rPr>
          <w:rFonts w:cstheme="minorHAnsi"/>
        </w:rPr>
        <w:t>Schreuer</w:t>
      </w:r>
      <w:proofErr w:type="spellEnd"/>
      <w:r w:rsidRPr="0003060E">
        <w:rPr>
          <w:rFonts w:cstheme="minorHAnsi"/>
        </w:rPr>
        <w:t xml:space="preserve">, Ursula </w:t>
      </w:r>
      <w:proofErr w:type="spellStart"/>
      <w:r w:rsidRPr="0003060E">
        <w:rPr>
          <w:rFonts w:cstheme="minorHAnsi"/>
        </w:rPr>
        <w:t>Kriebaum</w:t>
      </w:r>
      <w:proofErr w:type="spellEnd"/>
      <w:r w:rsidRPr="0003060E">
        <w:rPr>
          <w:rFonts w:cstheme="minorHAnsi"/>
        </w:rPr>
        <w:t xml:space="preserve"> and Christoph </w:t>
      </w:r>
      <w:proofErr w:type="spellStart"/>
      <w:r w:rsidRPr="0003060E">
        <w:rPr>
          <w:rFonts w:cstheme="minorHAnsi"/>
        </w:rPr>
        <w:t>Schreuer</w:t>
      </w:r>
      <w:proofErr w:type="spellEnd"/>
      <w:r w:rsidRPr="0003060E">
        <w:rPr>
          <w:rFonts w:cstheme="minorHAnsi"/>
        </w:rPr>
        <w:t xml:space="preserve">, </w:t>
      </w:r>
      <w:r w:rsidRPr="0003060E">
        <w:rPr>
          <w:rFonts w:cstheme="minorHAnsi"/>
          <w:i/>
          <w:iCs/>
        </w:rPr>
        <w:t xml:space="preserve">Principles of International Investment Law </w:t>
      </w:r>
      <w:r w:rsidRPr="0003060E">
        <w:rPr>
          <w:rFonts w:cstheme="minorHAnsi"/>
        </w:rPr>
        <w:t>(Oxford University Press, 2022) 379-80.</w:t>
      </w:r>
      <w:r w:rsidR="00913042" w:rsidRPr="0003060E">
        <w:rPr>
          <w:rFonts w:cstheme="minorHAnsi"/>
        </w:rPr>
        <w:t xml:space="preserve"> </w:t>
      </w:r>
    </w:p>
  </w:footnote>
  <w:footnote w:id="139">
    <w:p w14:paraId="7F8A7A0B" w14:textId="6EA1F99B" w:rsidR="008E15E7" w:rsidRPr="0003060E" w:rsidRDefault="008E15E7">
      <w:pPr>
        <w:pStyle w:val="FootnoteText"/>
        <w:rPr>
          <w:rFonts w:cstheme="minorHAnsi"/>
        </w:rPr>
      </w:pPr>
      <w:r w:rsidRPr="0003060E">
        <w:rPr>
          <w:rStyle w:val="FootnoteReference"/>
          <w:rFonts w:cstheme="minorHAnsi"/>
        </w:rPr>
        <w:footnoteRef/>
      </w:r>
      <w:r w:rsidRPr="0003060E">
        <w:rPr>
          <w:rFonts w:cstheme="minorHAnsi"/>
        </w:rPr>
        <w:t xml:space="preserve"> Ibid, 380-81.</w:t>
      </w:r>
      <w:r w:rsidR="00913042" w:rsidRPr="0003060E">
        <w:rPr>
          <w:rFonts w:cstheme="minorHAnsi"/>
        </w:rPr>
        <w:t xml:space="preserve"> See also generally Hwang and Lim (n </w:t>
      </w:r>
      <w:r w:rsidR="00507336" w:rsidRPr="0003060E">
        <w:rPr>
          <w:rFonts w:cstheme="minorHAnsi"/>
        </w:rPr>
        <w:t>12</w:t>
      </w:r>
      <w:r w:rsidR="000B7CD5" w:rsidRPr="0003060E">
        <w:rPr>
          <w:rFonts w:cstheme="minorHAnsi"/>
        </w:rPr>
        <w:t>7</w:t>
      </w:r>
      <w:r w:rsidR="00913042" w:rsidRPr="0003060E">
        <w:rPr>
          <w:rFonts w:cstheme="minorHAnsi"/>
        </w:rPr>
        <w:t>).</w:t>
      </w:r>
    </w:p>
  </w:footnote>
  <w:footnote w:id="140">
    <w:p w14:paraId="69C1DB52" w14:textId="44AFEC9E" w:rsidR="0000192E" w:rsidRPr="0003060E" w:rsidRDefault="0000192E">
      <w:pPr>
        <w:pStyle w:val="FootnoteText"/>
        <w:rPr>
          <w:rFonts w:cstheme="minorHAnsi"/>
        </w:rPr>
      </w:pPr>
      <w:r w:rsidRPr="0003060E">
        <w:rPr>
          <w:rStyle w:val="FootnoteReference"/>
          <w:rFonts w:cstheme="minorHAnsi"/>
        </w:rPr>
        <w:footnoteRef/>
      </w:r>
      <w:r w:rsidR="00E17A9D" w:rsidRPr="0003060E">
        <w:rPr>
          <w:rFonts w:cstheme="minorHAnsi"/>
        </w:rPr>
        <w:t xml:space="preserve"> 134 S. Ct. 1198 (2014).</w:t>
      </w:r>
      <w:r w:rsidR="00A13794" w:rsidRPr="0003060E">
        <w:rPr>
          <w:rFonts w:cstheme="minorHAnsi"/>
        </w:rPr>
        <w:t xml:space="preserve"> </w:t>
      </w:r>
    </w:p>
  </w:footnote>
  <w:footnote w:id="141">
    <w:p w14:paraId="25476330" w14:textId="03271A98" w:rsidR="0000192E" w:rsidRPr="0003060E" w:rsidRDefault="0000192E">
      <w:pPr>
        <w:pStyle w:val="FootnoteText"/>
        <w:rPr>
          <w:rFonts w:cstheme="minorHAnsi"/>
        </w:rPr>
      </w:pPr>
      <w:r w:rsidRPr="0003060E">
        <w:rPr>
          <w:rStyle w:val="FootnoteReference"/>
          <w:rFonts w:cstheme="minorHAnsi"/>
        </w:rPr>
        <w:footnoteRef/>
      </w:r>
      <w:r w:rsidRPr="0003060E">
        <w:rPr>
          <w:rFonts w:cstheme="minorHAnsi"/>
        </w:rPr>
        <w:t xml:space="preserve"> See</w:t>
      </w:r>
      <w:r w:rsidR="00E23B98" w:rsidRPr="0003060E">
        <w:rPr>
          <w:rFonts w:cstheme="minorHAnsi"/>
        </w:rPr>
        <w:t>,</w:t>
      </w:r>
      <w:r w:rsidRPr="0003060E">
        <w:rPr>
          <w:rFonts w:cstheme="minorHAnsi"/>
        </w:rPr>
        <w:t xml:space="preserve"> </w:t>
      </w:r>
      <w:proofErr w:type="spellStart"/>
      <w:r w:rsidRPr="0003060E">
        <w:rPr>
          <w:rFonts w:cstheme="minorHAnsi"/>
        </w:rPr>
        <w:t>eg</w:t>
      </w:r>
      <w:proofErr w:type="spellEnd"/>
      <w:r w:rsidR="00E23B98" w:rsidRPr="0003060E">
        <w:rPr>
          <w:rFonts w:cstheme="minorHAnsi"/>
        </w:rPr>
        <w:t xml:space="preserve">, Nobumichi Teramura, Luke Nottage and Bruno Jetin (eds), </w:t>
      </w:r>
      <w:r w:rsidR="00E23B98" w:rsidRPr="0003060E">
        <w:rPr>
          <w:rFonts w:cstheme="minorHAnsi"/>
          <w:i/>
          <w:iCs/>
        </w:rPr>
        <w:t>Corruption, Illegality and Asian Investment Arbitration</w:t>
      </w:r>
      <w:r w:rsidR="00E23B98" w:rsidRPr="0003060E">
        <w:rPr>
          <w:rFonts w:cstheme="minorHAnsi"/>
        </w:rPr>
        <w:t xml:space="preserve"> (Springer, 2024 (forthcoming)) </w:t>
      </w:r>
      <w:r w:rsidRPr="0003060E">
        <w:rPr>
          <w:rFonts w:cstheme="minorHAnsi"/>
        </w:rPr>
        <w:t>with extensive further references</w:t>
      </w:r>
      <w:r w:rsidR="00F94672" w:rsidRPr="0003060E">
        <w:rPr>
          <w:rFonts w:cstheme="minorHAnsi"/>
        </w:rPr>
        <w:t xml:space="preserve"> and some draft chapters available via &lt;https://japaneselaw.sydney.edu.au/2022/03/corruption-and-illegality-in-asian-investment-arbitration/&gt;</w:t>
      </w:r>
      <w:r w:rsidRPr="0003060E">
        <w:rPr>
          <w:rFonts w:cstheme="minorHAnsi"/>
        </w:rPr>
        <w:t>.</w:t>
      </w:r>
    </w:p>
  </w:footnote>
  <w:footnote w:id="142">
    <w:p w14:paraId="3788ED51" w14:textId="6070F74C" w:rsidR="00C45B81" w:rsidRPr="0003060E" w:rsidRDefault="00C45B81">
      <w:pPr>
        <w:pStyle w:val="FootnoteText"/>
        <w:rPr>
          <w:rFonts w:cstheme="minorHAnsi"/>
        </w:rPr>
      </w:pPr>
      <w:r w:rsidRPr="0003060E">
        <w:rPr>
          <w:rStyle w:val="FootnoteReference"/>
          <w:rFonts w:cstheme="minorHAnsi"/>
        </w:rPr>
        <w:footnoteRef/>
      </w:r>
      <w:r w:rsidRPr="0003060E">
        <w:rPr>
          <w:rFonts w:cstheme="minorHAnsi"/>
        </w:rPr>
        <w:t xml:space="preserve"> </w:t>
      </w:r>
      <w:r w:rsidR="00762159" w:rsidRPr="0003060E">
        <w:rPr>
          <w:rFonts w:cstheme="minorHAnsi"/>
        </w:rPr>
        <w:t xml:space="preserve">Menon (n </w:t>
      </w:r>
      <w:r w:rsidR="00CC3A68" w:rsidRPr="0003060E">
        <w:rPr>
          <w:rFonts w:cstheme="minorHAnsi"/>
        </w:rPr>
        <w:t>3</w:t>
      </w:r>
      <w:r w:rsidR="00821827" w:rsidRPr="0003060E">
        <w:rPr>
          <w:rFonts w:cstheme="minorHAnsi"/>
        </w:rPr>
        <w:t>1</w:t>
      </w:r>
      <w:r w:rsidR="00762159" w:rsidRPr="0003060E">
        <w:rPr>
          <w:rFonts w:cstheme="minorHAnsi"/>
        </w:rPr>
        <w:t xml:space="preserve">) 5. </w:t>
      </w:r>
    </w:p>
  </w:footnote>
  <w:footnote w:id="143">
    <w:p w14:paraId="62F79865" w14:textId="3A05AFCB" w:rsidR="00B17576" w:rsidRPr="0003060E" w:rsidRDefault="00B17576" w:rsidP="00834A96">
      <w:pPr>
        <w:pStyle w:val="Heading2"/>
        <w:rPr>
          <w:rFonts w:asciiTheme="minorHAnsi" w:hAnsiTheme="minorHAnsi" w:cstheme="minorHAnsi"/>
          <w:color w:val="000000" w:themeColor="text1"/>
          <w:sz w:val="20"/>
          <w:szCs w:val="20"/>
        </w:rPr>
      </w:pPr>
      <w:r w:rsidRPr="0003060E">
        <w:rPr>
          <w:rStyle w:val="FootnoteReference"/>
          <w:rFonts w:asciiTheme="minorHAnsi" w:hAnsiTheme="minorHAnsi" w:cstheme="minorHAnsi"/>
          <w:color w:val="000000" w:themeColor="text1"/>
          <w:sz w:val="20"/>
          <w:szCs w:val="20"/>
        </w:rPr>
        <w:footnoteRef/>
      </w:r>
      <w:r w:rsidRPr="0003060E">
        <w:rPr>
          <w:rFonts w:asciiTheme="minorHAnsi" w:hAnsiTheme="minorHAnsi" w:cstheme="minorHAnsi"/>
          <w:color w:val="000000" w:themeColor="text1"/>
          <w:sz w:val="20"/>
          <w:szCs w:val="20"/>
        </w:rPr>
        <w:t xml:space="preserve"> On concerns around ISDS and business-to-consumer arbitration, see Robert French ‘ADR and the Elusive Butterfly of Social Justice’</w:t>
      </w:r>
      <w:r w:rsidR="00D72F13" w:rsidRPr="0003060E">
        <w:rPr>
          <w:rFonts w:asciiTheme="minorHAnsi" w:hAnsiTheme="minorHAnsi" w:cstheme="minorHAnsi"/>
          <w:color w:val="000000" w:themeColor="text1"/>
          <w:sz w:val="20"/>
          <w:szCs w:val="20"/>
        </w:rPr>
        <w:t>, 5</w:t>
      </w:r>
      <w:r w:rsidR="00D72F13" w:rsidRPr="0003060E">
        <w:rPr>
          <w:rFonts w:asciiTheme="minorHAnsi" w:hAnsiTheme="minorHAnsi" w:cstheme="minorHAnsi"/>
          <w:color w:val="000000" w:themeColor="text1"/>
          <w:sz w:val="20"/>
          <w:szCs w:val="20"/>
          <w:vertAlign w:val="superscript"/>
        </w:rPr>
        <w:t>th</w:t>
      </w:r>
      <w:r w:rsidRPr="0003060E">
        <w:rPr>
          <w:rFonts w:asciiTheme="minorHAnsi" w:hAnsiTheme="minorHAnsi" w:cstheme="minorHAnsi"/>
          <w:color w:val="000000" w:themeColor="text1"/>
          <w:sz w:val="20"/>
          <w:szCs w:val="20"/>
        </w:rPr>
        <w:t xml:space="preserve"> Annual ADR Address of the Supreme Court of New South Wales, 17 November 2022, available at </w:t>
      </w:r>
      <w:r w:rsidR="00D72F13" w:rsidRPr="0003060E">
        <w:rPr>
          <w:rFonts w:asciiTheme="minorHAnsi" w:hAnsiTheme="minorHAnsi" w:cstheme="minorHAnsi"/>
          <w:color w:val="000000" w:themeColor="text1"/>
          <w:sz w:val="20"/>
          <w:szCs w:val="20"/>
        </w:rPr>
        <w:t>&lt;</w:t>
      </w:r>
      <w:hyperlink r:id="rId52" w:history="1">
        <w:r w:rsidR="00D72F13" w:rsidRPr="0003060E">
          <w:rPr>
            <w:rStyle w:val="Hyperlink"/>
            <w:rFonts w:asciiTheme="minorHAnsi" w:hAnsiTheme="minorHAnsi" w:cstheme="minorHAnsi"/>
            <w:color w:val="000000" w:themeColor="text1"/>
            <w:sz w:val="20"/>
            <w:szCs w:val="20"/>
          </w:rPr>
          <w:t>https://disputescentre.com.au/the-supreme-court-of-new-south-wales-adr-address-2022/</w:t>
        </w:r>
      </w:hyperlink>
      <w:r w:rsidR="00D72F13" w:rsidRPr="0003060E">
        <w:rPr>
          <w:rFonts w:asciiTheme="minorHAnsi" w:hAnsiTheme="minorHAnsi" w:cstheme="minorHAnsi"/>
          <w:color w:val="000000" w:themeColor="text1"/>
          <w:sz w:val="20"/>
          <w:szCs w:val="20"/>
        </w:rPr>
        <w:t>&gt;. On a development detracting from ICA, see Andrew Bell, ‘The Rise of the Anti-Arbitration Injunction’, 3</w:t>
      </w:r>
      <w:r w:rsidR="00D72F13" w:rsidRPr="0003060E">
        <w:rPr>
          <w:rFonts w:asciiTheme="minorHAnsi" w:hAnsiTheme="minorHAnsi" w:cstheme="minorHAnsi"/>
          <w:color w:val="000000" w:themeColor="text1"/>
          <w:sz w:val="20"/>
          <w:szCs w:val="20"/>
          <w:vertAlign w:val="superscript"/>
        </w:rPr>
        <w:t>rd</w:t>
      </w:r>
      <w:r w:rsidR="00D72F13" w:rsidRPr="0003060E">
        <w:rPr>
          <w:rFonts w:asciiTheme="minorHAnsi" w:hAnsiTheme="minorHAnsi" w:cstheme="minorHAnsi"/>
          <w:color w:val="000000" w:themeColor="text1"/>
          <w:sz w:val="20"/>
          <w:szCs w:val="20"/>
        </w:rPr>
        <w:t xml:space="preserve"> Annual ADR Address of the Supreme Court of New South Wales, 15 October 2020, available via &lt;https://www.supremecourt.nsw.gov.au/about-us/speeches/chief-justice.html&gt;.</w:t>
      </w:r>
    </w:p>
  </w:footnote>
  <w:footnote w:id="144">
    <w:p w14:paraId="1D280D00" w14:textId="6FE8E79A" w:rsidR="00834A96" w:rsidRPr="0003060E" w:rsidRDefault="00834A96" w:rsidP="00834A96">
      <w:pPr>
        <w:pStyle w:val="FootnoteText"/>
        <w:rPr>
          <w:rFonts w:cstheme="minorHAnsi"/>
        </w:rPr>
      </w:pPr>
      <w:r w:rsidRPr="0003060E">
        <w:rPr>
          <w:rStyle w:val="FootnoteReference"/>
          <w:rFonts w:cstheme="minorHAnsi"/>
        </w:rPr>
        <w:footnoteRef/>
      </w:r>
      <w:r w:rsidRPr="0003060E">
        <w:rPr>
          <w:rFonts w:cstheme="minorHAnsi"/>
        </w:rPr>
        <w:t xml:space="preserve"> Julie Ward, ‘Online Dispute Resolution in the Age of COVID-19’, 4</w:t>
      </w:r>
      <w:r w:rsidRPr="0003060E">
        <w:rPr>
          <w:rFonts w:cstheme="minorHAnsi"/>
          <w:vertAlign w:val="superscript"/>
        </w:rPr>
        <w:t>th</w:t>
      </w:r>
      <w:r w:rsidRPr="0003060E">
        <w:rPr>
          <w:rFonts w:cstheme="minorHAnsi"/>
        </w:rPr>
        <w:t xml:space="preserve"> Annual Address of the Supreme Court of New South Wales, 30 September 2021, summarised at https://disputescentre.com.au/online-dispute-resolution-in-the-age-covid-19/. More generally on the impact of technology, see the pre-pandemic prognosis provided by Tom Bathurst, ‘ADR, ODR and AI-DR, or Do We Even Need Courts Anymore’, Inaugural ADR Address of the Supreme Court of New South Wales, 20 September 2018, available via </w:t>
      </w:r>
      <w:hyperlink r:id="rId53" w:anchor="bathurst" w:history="1">
        <w:r w:rsidRPr="0003060E">
          <w:rPr>
            <w:rStyle w:val="Hyperlink"/>
            <w:rFonts w:cstheme="minorHAnsi"/>
          </w:rPr>
          <w:t>https://www.supremecourt.nsw.gov.au/about-us/speeches/past-judges.html#bathurst</w:t>
        </w:r>
      </w:hyperlink>
      <w:r w:rsidRPr="0003060E">
        <w:rPr>
          <w:rFonts w:cstheme="minorHAnsi"/>
        </w:rPr>
        <w:t>.</w:t>
      </w:r>
    </w:p>
  </w:footnote>
  <w:footnote w:id="145">
    <w:p w14:paraId="5401B329" w14:textId="4285784F" w:rsidR="00C559E8" w:rsidRPr="0003060E" w:rsidRDefault="00C559E8">
      <w:pPr>
        <w:pStyle w:val="FootnoteText"/>
        <w:rPr>
          <w:rFonts w:cstheme="minorHAnsi"/>
        </w:rPr>
      </w:pPr>
      <w:r w:rsidRPr="0003060E">
        <w:rPr>
          <w:rStyle w:val="FootnoteReference"/>
          <w:rFonts w:cstheme="minorHAnsi"/>
        </w:rPr>
        <w:footnoteRef/>
      </w:r>
      <w:r w:rsidRPr="0003060E">
        <w:rPr>
          <w:rFonts w:cstheme="minorHAnsi"/>
        </w:rPr>
        <w:t xml:space="preserve"> </w:t>
      </w:r>
      <w:r w:rsidR="003D30A5" w:rsidRPr="0003060E">
        <w:rPr>
          <w:rFonts w:cstheme="minorHAnsi"/>
        </w:rPr>
        <w:t xml:space="preserve">Nottage (n </w:t>
      </w:r>
      <w:r w:rsidR="00821827" w:rsidRPr="0003060E">
        <w:rPr>
          <w:rFonts w:cstheme="minorHAnsi"/>
        </w:rPr>
        <w:t>30</w:t>
      </w:r>
      <w:r w:rsidR="003D30A5" w:rsidRPr="0003060E">
        <w:rPr>
          <w:rFonts w:cstheme="minorHAnsi"/>
        </w:rPr>
        <w:t>)</w:t>
      </w:r>
      <w:r w:rsidR="00821827" w:rsidRPr="0003060E">
        <w:rPr>
          <w:rFonts w:cstheme="minorHAnsi"/>
        </w:rPr>
        <w:t xml:space="preserve"> 378-83</w:t>
      </w:r>
      <w:r w:rsidR="003D30A5" w:rsidRPr="0003060E">
        <w:rPr>
          <w:rFonts w:cstheme="minorHAnsi"/>
        </w:rPr>
        <w:t xml:space="preserve">; </w:t>
      </w:r>
      <w:r w:rsidRPr="0003060E">
        <w:rPr>
          <w:rFonts w:cstheme="minorHAnsi"/>
        </w:rPr>
        <w:t>Lei Chen, ‘Will Virtual Hearings Remain in Post-pandemic International Arbitration?’ (202</w:t>
      </w:r>
      <w:r w:rsidR="003D30A5" w:rsidRPr="0003060E">
        <w:rPr>
          <w:rFonts w:cstheme="minorHAnsi"/>
        </w:rPr>
        <w:t xml:space="preserve">3) </w:t>
      </w:r>
      <w:r w:rsidRPr="0003060E">
        <w:rPr>
          <w:rFonts w:cstheme="minorHAnsi"/>
          <w:i/>
          <w:iCs/>
        </w:rPr>
        <w:t>International Journal for the Semiotics of Law,</w:t>
      </w:r>
      <w:r w:rsidRPr="0003060E">
        <w:rPr>
          <w:rFonts w:cstheme="minorHAnsi"/>
        </w:rPr>
        <w:t xml:space="preserve"> </w:t>
      </w:r>
      <w:hyperlink r:id="rId54" w:history="1">
        <w:r w:rsidRPr="0003060E">
          <w:rPr>
            <w:rStyle w:val="Hyperlink"/>
            <w:rFonts w:cstheme="minorHAnsi"/>
          </w:rPr>
          <w:t>https://doi.org/10.1007/s11196-023-10054-7</w:t>
        </w:r>
      </w:hyperlink>
      <w:r w:rsidR="003D30A5" w:rsidRPr="0003060E">
        <w:rPr>
          <w:rFonts w:cstheme="minorHAnsi"/>
        </w:rPr>
        <w:t>.</w:t>
      </w:r>
    </w:p>
  </w:footnote>
  <w:footnote w:id="146">
    <w:p w14:paraId="73F99E66" w14:textId="3324C1EC" w:rsidR="00225AD3" w:rsidRPr="0003060E" w:rsidRDefault="00225AD3">
      <w:pPr>
        <w:pStyle w:val="FootnoteText"/>
        <w:rPr>
          <w:rFonts w:cstheme="minorHAnsi"/>
        </w:rPr>
      </w:pPr>
      <w:r w:rsidRPr="0003060E">
        <w:rPr>
          <w:rStyle w:val="FootnoteReference"/>
          <w:rFonts w:cstheme="minorHAnsi"/>
        </w:rPr>
        <w:footnoteRef/>
      </w:r>
      <w:r w:rsidRPr="0003060E">
        <w:rPr>
          <w:rFonts w:cstheme="minorHAnsi"/>
        </w:rPr>
        <w:t xml:space="preserve"> </w:t>
      </w:r>
      <w:r w:rsidR="002C4256" w:rsidRPr="0003060E">
        <w:rPr>
          <w:rFonts w:eastAsia="Times New Roman" w:cstheme="minorHAnsi"/>
        </w:rPr>
        <w:t>Chiara Giorgetti and Mark Pollack</w:t>
      </w:r>
      <w:r w:rsidR="002C4256" w:rsidRPr="0003060E">
        <w:rPr>
          <w:rFonts w:cstheme="minorHAnsi"/>
        </w:rPr>
        <w:t xml:space="preserve">, ‘Beyond Fragmentation: Cross-Fertilization, Cooperation, and Competition among International Courts and Tribunals’ in Chiara Giorgetti and Mark Pollack (eds) </w:t>
      </w:r>
      <w:r w:rsidR="002C4256" w:rsidRPr="0003060E">
        <w:rPr>
          <w:rFonts w:eastAsia="Times New Roman" w:cstheme="minorHAnsi"/>
          <w:i/>
          <w:iCs/>
        </w:rPr>
        <w:t>Competition among International Courts and Tribunals</w:t>
      </w:r>
      <w:r w:rsidR="002C4256" w:rsidRPr="0003060E">
        <w:rPr>
          <w:rFonts w:eastAsia="Times New Roman" w:cstheme="minorHAnsi"/>
        </w:rPr>
        <w:t xml:space="preserve"> (Cambridge University Press 2022) 1, 5-26.</w:t>
      </w:r>
    </w:p>
  </w:footnote>
  <w:footnote w:id="147">
    <w:p w14:paraId="19070798" w14:textId="7B2A0FE8" w:rsidR="002C4256" w:rsidRPr="0003060E" w:rsidRDefault="002C4256" w:rsidP="002C4256">
      <w:pPr>
        <w:rPr>
          <w:rFonts w:asciiTheme="minorHAnsi" w:hAnsiTheme="minorHAnsi" w:cstheme="minorHAnsi"/>
          <w:sz w:val="20"/>
          <w:szCs w:val="20"/>
        </w:rPr>
      </w:pPr>
      <w:r w:rsidRPr="0003060E">
        <w:rPr>
          <w:rStyle w:val="FootnoteReference"/>
          <w:rFonts w:asciiTheme="minorHAnsi" w:hAnsiTheme="minorHAnsi" w:cstheme="minorHAnsi"/>
          <w:sz w:val="20"/>
          <w:szCs w:val="20"/>
        </w:rPr>
        <w:footnoteRef/>
      </w:r>
      <w:r w:rsidRPr="0003060E">
        <w:rPr>
          <w:rFonts w:asciiTheme="minorHAnsi" w:hAnsiTheme="minorHAnsi" w:cstheme="minorHAnsi"/>
          <w:sz w:val="20"/>
          <w:szCs w:val="20"/>
        </w:rPr>
        <w:t xml:space="preserve"> Helene Ruiz Fabri and Joshua Paine, ‘The Procedural Cross-Fertilization Pull’ in Chiara Giorgetti and Mark Pollack (eds), </w:t>
      </w:r>
      <w:r w:rsidRPr="0003060E">
        <w:rPr>
          <w:rFonts w:asciiTheme="minorHAnsi" w:hAnsiTheme="minorHAnsi" w:cstheme="minorHAnsi"/>
          <w:i/>
          <w:iCs/>
          <w:sz w:val="20"/>
          <w:szCs w:val="20"/>
        </w:rPr>
        <w:t>Beyond Fragmentation: Cross-Fertilization, Cooperation and Competition among International Courts and Tribunals</w:t>
      </w:r>
      <w:r w:rsidRPr="0003060E">
        <w:rPr>
          <w:rFonts w:asciiTheme="minorHAnsi" w:hAnsiTheme="minorHAnsi" w:cstheme="minorHAnsi"/>
          <w:sz w:val="20"/>
          <w:szCs w:val="20"/>
        </w:rPr>
        <w:t xml:space="preserve"> (Cambridge University Press 2022) 39</w:t>
      </w:r>
      <w:r w:rsidR="001F0DFF" w:rsidRPr="0003060E">
        <w:rPr>
          <w:rFonts w:asciiTheme="minorHAnsi" w:hAnsiTheme="minorHAnsi" w:cstheme="minorHAnsi"/>
          <w:sz w:val="20"/>
          <w:szCs w:val="20"/>
        </w:rPr>
        <w:t>, 46-66.</w:t>
      </w:r>
    </w:p>
  </w:footnote>
  <w:footnote w:id="148">
    <w:p w14:paraId="5BB58E3A" w14:textId="57219B98" w:rsidR="00596C47" w:rsidRPr="0003060E" w:rsidRDefault="004E410A">
      <w:pPr>
        <w:pStyle w:val="FootnoteText"/>
        <w:rPr>
          <w:rFonts w:cstheme="minorHAnsi"/>
        </w:rPr>
      </w:pPr>
      <w:r w:rsidRPr="0003060E">
        <w:rPr>
          <w:rStyle w:val="FootnoteReference"/>
          <w:rFonts w:cstheme="minorHAnsi"/>
        </w:rPr>
        <w:footnoteRef/>
      </w:r>
      <w:r w:rsidRPr="0003060E">
        <w:rPr>
          <w:rFonts w:cstheme="minorHAnsi"/>
        </w:rPr>
        <w:t xml:space="preserve"> </w:t>
      </w:r>
      <w:r w:rsidR="002A5DA3" w:rsidRPr="0003060E">
        <w:rPr>
          <w:rFonts w:cstheme="minorHAnsi"/>
        </w:rPr>
        <w:t>These include the</w:t>
      </w:r>
      <w:r w:rsidR="007B3BB7" w:rsidRPr="0003060E">
        <w:rPr>
          <w:rFonts w:cstheme="minorHAnsi"/>
        </w:rPr>
        <w:t xml:space="preserve"> </w:t>
      </w:r>
      <w:r w:rsidR="002A5DA3" w:rsidRPr="0003060E">
        <w:rPr>
          <w:rFonts w:cstheme="minorHAnsi"/>
        </w:rPr>
        <w:t xml:space="preserve">early </w:t>
      </w:r>
      <w:r w:rsidR="007B3BB7" w:rsidRPr="0003060E">
        <w:rPr>
          <w:rFonts w:cstheme="minorHAnsi"/>
        </w:rPr>
        <w:t xml:space="preserve">dismissals of unmeritorious claims and disclosure of third-party funding, added for example in the 2021 ACICA Rules (Nottage, </w:t>
      </w:r>
      <w:proofErr w:type="spellStart"/>
      <w:r w:rsidR="007B3BB7" w:rsidRPr="0003060E">
        <w:rPr>
          <w:rFonts w:cstheme="minorHAnsi"/>
        </w:rPr>
        <w:t>Droesti</w:t>
      </w:r>
      <w:proofErr w:type="spellEnd"/>
      <w:r w:rsidR="007B3BB7" w:rsidRPr="0003060E">
        <w:rPr>
          <w:rFonts w:cstheme="minorHAnsi"/>
        </w:rPr>
        <w:t xml:space="preserve"> and Tang, n</w:t>
      </w:r>
      <w:r w:rsidR="00821827" w:rsidRPr="0003060E">
        <w:rPr>
          <w:rFonts w:cstheme="minorHAnsi"/>
        </w:rPr>
        <w:t xml:space="preserve"> 35</w:t>
      </w:r>
      <w:r w:rsidR="007B3BB7" w:rsidRPr="0003060E">
        <w:rPr>
          <w:rFonts w:cstheme="minorHAnsi"/>
        </w:rPr>
        <w:t xml:space="preserve">). They too have crossed over, at least in part, from ISA. </w:t>
      </w:r>
      <w:r w:rsidR="00596C47" w:rsidRPr="0003060E">
        <w:rPr>
          <w:rFonts w:cstheme="minorHAnsi"/>
        </w:rPr>
        <w:t>S</w:t>
      </w:r>
      <w:r w:rsidR="007B3BB7" w:rsidRPr="0003060E">
        <w:rPr>
          <w:rFonts w:cstheme="minorHAnsi"/>
        </w:rPr>
        <w:t xml:space="preserve">ee, </w:t>
      </w:r>
      <w:proofErr w:type="spellStart"/>
      <w:r w:rsidR="007B3BB7" w:rsidRPr="0003060E">
        <w:rPr>
          <w:rFonts w:cstheme="minorHAnsi"/>
        </w:rPr>
        <w:t>eg</w:t>
      </w:r>
      <w:proofErr w:type="spellEnd"/>
      <w:r w:rsidR="007B3BB7" w:rsidRPr="0003060E">
        <w:rPr>
          <w:rFonts w:cstheme="minorHAnsi"/>
        </w:rPr>
        <w:t xml:space="preserve">, Chester Brown and Sergio Puig, ‘The Power of ICSID Tribunals to Dismiss Proceedings Summarily: An Analysis of Rule 41(5) of the ICSID Arbitration Rules’ (2011) 10 </w:t>
      </w:r>
      <w:r w:rsidR="007B3BB7" w:rsidRPr="0003060E">
        <w:rPr>
          <w:rFonts w:cstheme="minorHAnsi"/>
          <w:i/>
          <w:iCs/>
        </w:rPr>
        <w:t xml:space="preserve">The Law and Practice of International Courts and Tribunals </w:t>
      </w:r>
      <w:r w:rsidR="007B3BB7" w:rsidRPr="0003060E">
        <w:rPr>
          <w:rFonts w:cstheme="minorHAnsi"/>
        </w:rPr>
        <w:t>227 and</w:t>
      </w:r>
      <w:r w:rsidR="002A5DA3" w:rsidRPr="0003060E">
        <w:rPr>
          <w:rFonts w:cstheme="minorHAnsi"/>
        </w:rPr>
        <w:t xml:space="preserve"> Julien Chaisse, ‘Delays Expected but Duration of Delays Unpredictable: Causes, Types and Symptoms of Procedural Applications in Investment Arbitration’ (2021) 37 </w:t>
      </w:r>
      <w:r w:rsidR="002A5DA3" w:rsidRPr="0003060E">
        <w:rPr>
          <w:rFonts w:cstheme="minorHAnsi"/>
          <w:i/>
          <w:iCs/>
        </w:rPr>
        <w:t xml:space="preserve">Arbitration International </w:t>
      </w:r>
      <w:r w:rsidR="002A5DA3" w:rsidRPr="0003060E">
        <w:rPr>
          <w:rFonts w:cstheme="minorHAnsi"/>
        </w:rPr>
        <w:t>863</w:t>
      </w:r>
      <w:r w:rsidR="00596C47" w:rsidRPr="0003060E">
        <w:rPr>
          <w:rFonts w:cstheme="minorHAnsi"/>
        </w:rPr>
        <w:t>.</w:t>
      </w:r>
      <w:r w:rsidR="002A5DA3" w:rsidRPr="0003060E">
        <w:rPr>
          <w:rFonts w:cstheme="minorHAnsi"/>
        </w:rPr>
        <w:t xml:space="preserve"> Chaisse </w:t>
      </w:r>
      <w:r w:rsidR="00FF7365" w:rsidRPr="0003060E">
        <w:rPr>
          <w:rFonts w:cstheme="minorHAnsi"/>
        </w:rPr>
        <w:t xml:space="preserve">notes how both are now associated with delays in ISA, with early dismissal rarely allowed under the 2006 amendment to the ICSID Rules. This is ironic especially </w:t>
      </w:r>
      <w:r w:rsidR="00D75FAF" w:rsidRPr="0003060E">
        <w:rPr>
          <w:rFonts w:cstheme="minorHAnsi"/>
        </w:rPr>
        <w:t>as it was designed to</w:t>
      </w:r>
      <w:r w:rsidR="00FF7365" w:rsidRPr="0003060E">
        <w:rPr>
          <w:rFonts w:cstheme="minorHAnsi"/>
        </w:rPr>
        <w:t xml:space="preserve"> expedite </w:t>
      </w:r>
      <w:proofErr w:type="spellStart"/>
      <w:proofErr w:type="gramStart"/>
      <w:r w:rsidR="00FF7365" w:rsidRPr="0003060E">
        <w:rPr>
          <w:rFonts w:cstheme="minorHAnsi"/>
        </w:rPr>
        <w:t>proceeedings</w:t>
      </w:r>
      <w:proofErr w:type="spellEnd"/>
      <w:r w:rsidR="00D75FAF" w:rsidRPr="0003060E">
        <w:rPr>
          <w:rFonts w:cstheme="minorHAnsi"/>
        </w:rPr>
        <w:t>, and</w:t>
      </w:r>
      <w:proofErr w:type="gramEnd"/>
      <w:r w:rsidR="00D75FAF" w:rsidRPr="0003060E">
        <w:rPr>
          <w:rFonts w:cstheme="minorHAnsi"/>
        </w:rPr>
        <w:t xml:space="preserve"> leads to some arbitral institutions experimenting with alternative formulations: see generally Mino Han and Arjun Solanki, ‘Early Determination: A Secret Recipe for Arbitral Efficiency’ </w:t>
      </w:r>
      <w:r w:rsidR="00D75FAF" w:rsidRPr="0003060E">
        <w:rPr>
          <w:rFonts w:cstheme="minorHAnsi"/>
          <w:i/>
          <w:iCs/>
          <w:lang w:val="en-US"/>
        </w:rPr>
        <w:t>Kluwer Arbitration Blog</w:t>
      </w:r>
      <w:r w:rsidR="00D75FAF" w:rsidRPr="0003060E">
        <w:rPr>
          <w:rFonts w:cstheme="minorHAnsi"/>
          <w:lang w:val="en-US"/>
        </w:rPr>
        <w:t xml:space="preserve"> (Blog Post, 12 May 2023) </w:t>
      </w:r>
      <w:r w:rsidR="00D75FAF" w:rsidRPr="0003060E">
        <w:rPr>
          <w:rFonts w:cstheme="minorHAnsi"/>
        </w:rPr>
        <w:t xml:space="preserve">&lt;https://arbitrationblog.kluwerarbitration.com/2023/05/12/early-determination-a-secret-recipe-for-arbitral-efficiency/&gt; and Anjali and Kler (n XXX). </w:t>
      </w:r>
    </w:p>
  </w:footnote>
  <w:footnote w:id="149">
    <w:p w14:paraId="47656070" w14:textId="73150FA0" w:rsidR="004E410A" w:rsidRPr="002C16B8" w:rsidRDefault="004E410A">
      <w:pPr>
        <w:pStyle w:val="FootnoteText"/>
        <w:rPr>
          <w:rFonts w:cstheme="minorHAnsi"/>
          <w:i/>
          <w:iCs/>
          <w:lang w:val="en-US"/>
        </w:rPr>
      </w:pPr>
      <w:r w:rsidRPr="0003060E">
        <w:rPr>
          <w:rStyle w:val="FootnoteReference"/>
          <w:rFonts w:cstheme="minorHAnsi"/>
        </w:rPr>
        <w:footnoteRef/>
      </w:r>
      <w:r w:rsidRPr="0003060E">
        <w:rPr>
          <w:rFonts w:cstheme="minorHAnsi"/>
        </w:rPr>
        <w:t xml:space="preserve"> </w:t>
      </w:r>
      <w:r w:rsidRPr="0003060E">
        <w:rPr>
          <w:rFonts w:cstheme="minorHAnsi"/>
          <w:lang w:val="en-US"/>
        </w:rPr>
        <w:t xml:space="preserve">See generally </w:t>
      </w:r>
      <w:r w:rsidR="00FD202C" w:rsidRPr="0003060E">
        <w:rPr>
          <w:rFonts w:cstheme="minorHAnsi"/>
          <w:lang w:val="en-US"/>
        </w:rPr>
        <w:t>Allsop and Walpole (n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B7B"/>
    <w:multiLevelType w:val="hybridMultilevel"/>
    <w:tmpl w:val="5300B492"/>
    <w:lvl w:ilvl="0" w:tplc="A7D0468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237FD"/>
    <w:multiLevelType w:val="hybridMultilevel"/>
    <w:tmpl w:val="3A0092F0"/>
    <w:lvl w:ilvl="0" w:tplc="0C090001">
      <w:start w:val="1"/>
      <w:numFmt w:val="bullet"/>
      <w:lvlText w:val=""/>
      <w:lvlJc w:val="left"/>
      <w:pPr>
        <w:tabs>
          <w:tab w:val="num" w:pos="420"/>
        </w:tabs>
        <w:ind w:left="420" w:hanging="42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44CE2"/>
    <w:multiLevelType w:val="hybridMultilevel"/>
    <w:tmpl w:val="2862C1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1A16E3"/>
    <w:multiLevelType w:val="hybridMultilevel"/>
    <w:tmpl w:val="2862C1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AB0746"/>
    <w:multiLevelType w:val="hybridMultilevel"/>
    <w:tmpl w:val="76D0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64287C"/>
    <w:multiLevelType w:val="hybridMultilevel"/>
    <w:tmpl w:val="1BE22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5F5865"/>
    <w:multiLevelType w:val="hybridMultilevel"/>
    <w:tmpl w:val="C018DB5E"/>
    <w:lvl w:ilvl="0" w:tplc="1D5837DE">
      <w:start w:val="1"/>
      <w:numFmt w:val="decimal"/>
      <w:lvlText w:val="%1."/>
      <w:lvlJc w:val="left"/>
      <w:pPr>
        <w:tabs>
          <w:tab w:val="num" w:pos="720"/>
        </w:tabs>
        <w:ind w:left="720" w:hanging="360"/>
      </w:pPr>
    </w:lvl>
    <w:lvl w:ilvl="1" w:tplc="8D28BB42" w:tentative="1">
      <w:start w:val="1"/>
      <w:numFmt w:val="decimal"/>
      <w:lvlText w:val="%2."/>
      <w:lvlJc w:val="left"/>
      <w:pPr>
        <w:tabs>
          <w:tab w:val="num" w:pos="1440"/>
        </w:tabs>
        <w:ind w:left="1440" w:hanging="360"/>
      </w:pPr>
    </w:lvl>
    <w:lvl w:ilvl="2" w:tplc="620A7F76" w:tentative="1">
      <w:start w:val="1"/>
      <w:numFmt w:val="decimal"/>
      <w:lvlText w:val="%3."/>
      <w:lvlJc w:val="left"/>
      <w:pPr>
        <w:tabs>
          <w:tab w:val="num" w:pos="2160"/>
        </w:tabs>
        <w:ind w:left="2160" w:hanging="360"/>
      </w:pPr>
    </w:lvl>
    <w:lvl w:ilvl="3" w:tplc="41EEA05A" w:tentative="1">
      <w:start w:val="1"/>
      <w:numFmt w:val="decimal"/>
      <w:lvlText w:val="%4."/>
      <w:lvlJc w:val="left"/>
      <w:pPr>
        <w:tabs>
          <w:tab w:val="num" w:pos="2880"/>
        </w:tabs>
        <w:ind w:left="2880" w:hanging="360"/>
      </w:pPr>
    </w:lvl>
    <w:lvl w:ilvl="4" w:tplc="49640AE2" w:tentative="1">
      <w:start w:val="1"/>
      <w:numFmt w:val="decimal"/>
      <w:lvlText w:val="%5."/>
      <w:lvlJc w:val="left"/>
      <w:pPr>
        <w:tabs>
          <w:tab w:val="num" w:pos="3600"/>
        </w:tabs>
        <w:ind w:left="3600" w:hanging="360"/>
      </w:pPr>
    </w:lvl>
    <w:lvl w:ilvl="5" w:tplc="EFDC4C80" w:tentative="1">
      <w:start w:val="1"/>
      <w:numFmt w:val="decimal"/>
      <w:lvlText w:val="%6."/>
      <w:lvlJc w:val="left"/>
      <w:pPr>
        <w:tabs>
          <w:tab w:val="num" w:pos="4320"/>
        </w:tabs>
        <w:ind w:left="4320" w:hanging="360"/>
      </w:pPr>
    </w:lvl>
    <w:lvl w:ilvl="6" w:tplc="22B4B040" w:tentative="1">
      <w:start w:val="1"/>
      <w:numFmt w:val="decimal"/>
      <w:lvlText w:val="%7."/>
      <w:lvlJc w:val="left"/>
      <w:pPr>
        <w:tabs>
          <w:tab w:val="num" w:pos="5040"/>
        </w:tabs>
        <w:ind w:left="5040" w:hanging="360"/>
      </w:pPr>
    </w:lvl>
    <w:lvl w:ilvl="7" w:tplc="F886C234" w:tentative="1">
      <w:start w:val="1"/>
      <w:numFmt w:val="decimal"/>
      <w:lvlText w:val="%8."/>
      <w:lvlJc w:val="left"/>
      <w:pPr>
        <w:tabs>
          <w:tab w:val="num" w:pos="5760"/>
        </w:tabs>
        <w:ind w:left="5760" w:hanging="360"/>
      </w:pPr>
    </w:lvl>
    <w:lvl w:ilvl="8" w:tplc="F030E7AC" w:tentative="1">
      <w:start w:val="1"/>
      <w:numFmt w:val="decimal"/>
      <w:lvlText w:val="%9."/>
      <w:lvlJc w:val="left"/>
      <w:pPr>
        <w:tabs>
          <w:tab w:val="num" w:pos="6480"/>
        </w:tabs>
        <w:ind w:left="6480" w:hanging="360"/>
      </w:pPr>
    </w:lvl>
  </w:abstractNum>
  <w:abstractNum w:abstractNumId="7" w15:restartNumberingAfterBreak="0">
    <w:nsid w:val="5F0353CF"/>
    <w:multiLevelType w:val="hybridMultilevel"/>
    <w:tmpl w:val="F2C04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4D3735"/>
    <w:multiLevelType w:val="hybridMultilevel"/>
    <w:tmpl w:val="8A009D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23689D"/>
    <w:multiLevelType w:val="hybridMultilevel"/>
    <w:tmpl w:val="2862C1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3100324">
    <w:abstractNumId w:val="3"/>
  </w:num>
  <w:num w:numId="2" w16cid:durableId="913586908">
    <w:abstractNumId w:val="8"/>
  </w:num>
  <w:num w:numId="3" w16cid:durableId="351029983">
    <w:abstractNumId w:val="5"/>
  </w:num>
  <w:num w:numId="4" w16cid:durableId="2115204004">
    <w:abstractNumId w:val="4"/>
  </w:num>
  <w:num w:numId="5" w16cid:durableId="1137527999">
    <w:abstractNumId w:val="2"/>
  </w:num>
  <w:num w:numId="6" w16cid:durableId="231358925">
    <w:abstractNumId w:val="9"/>
  </w:num>
  <w:num w:numId="7" w16cid:durableId="1074015420">
    <w:abstractNumId w:val="6"/>
  </w:num>
  <w:num w:numId="8" w16cid:durableId="1845628941">
    <w:abstractNumId w:val="0"/>
  </w:num>
  <w:num w:numId="9" w16cid:durableId="1536238761">
    <w:abstractNumId w:val="1"/>
  </w:num>
  <w:num w:numId="10" w16cid:durableId="269166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FD"/>
    <w:rsid w:val="000001FF"/>
    <w:rsid w:val="0000192E"/>
    <w:rsid w:val="00004D8A"/>
    <w:rsid w:val="00005132"/>
    <w:rsid w:val="000067FE"/>
    <w:rsid w:val="00007EF5"/>
    <w:rsid w:val="000167AA"/>
    <w:rsid w:val="00017F84"/>
    <w:rsid w:val="0002795E"/>
    <w:rsid w:val="00030272"/>
    <w:rsid w:val="0003060E"/>
    <w:rsid w:val="00032862"/>
    <w:rsid w:val="00033EC8"/>
    <w:rsid w:val="0003609D"/>
    <w:rsid w:val="000361AE"/>
    <w:rsid w:val="00036FA9"/>
    <w:rsid w:val="000370D0"/>
    <w:rsid w:val="000438D2"/>
    <w:rsid w:val="00045A8C"/>
    <w:rsid w:val="00045FB0"/>
    <w:rsid w:val="000465DE"/>
    <w:rsid w:val="00050231"/>
    <w:rsid w:val="00056D16"/>
    <w:rsid w:val="00060811"/>
    <w:rsid w:val="00060BA6"/>
    <w:rsid w:val="0006101F"/>
    <w:rsid w:val="000623D8"/>
    <w:rsid w:val="00063081"/>
    <w:rsid w:val="00071039"/>
    <w:rsid w:val="00071E21"/>
    <w:rsid w:val="00083A66"/>
    <w:rsid w:val="00087EEF"/>
    <w:rsid w:val="000919BE"/>
    <w:rsid w:val="00091EF6"/>
    <w:rsid w:val="00092705"/>
    <w:rsid w:val="000A0117"/>
    <w:rsid w:val="000A0B0A"/>
    <w:rsid w:val="000A3A3E"/>
    <w:rsid w:val="000A3B78"/>
    <w:rsid w:val="000A50BD"/>
    <w:rsid w:val="000B35A6"/>
    <w:rsid w:val="000B55D4"/>
    <w:rsid w:val="000B7CD5"/>
    <w:rsid w:val="000C0400"/>
    <w:rsid w:val="000C2344"/>
    <w:rsid w:val="000D49FE"/>
    <w:rsid w:val="000D6C09"/>
    <w:rsid w:val="000E1FEF"/>
    <w:rsid w:val="000E2F2D"/>
    <w:rsid w:val="000E464D"/>
    <w:rsid w:val="000E75FE"/>
    <w:rsid w:val="000F0CA7"/>
    <w:rsid w:val="0011094A"/>
    <w:rsid w:val="0011338A"/>
    <w:rsid w:val="00125B01"/>
    <w:rsid w:val="00127838"/>
    <w:rsid w:val="001367F1"/>
    <w:rsid w:val="00136998"/>
    <w:rsid w:val="00137FA1"/>
    <w:rsid w:val="00140521"/>
    <w:rsid w:val="00140FA0"/>
    <w:rsid w:val="00143068"/>
    <w:rsid w:val="00145B63"/>
    <w:rsid w:val="0014619A"/>
    <w:rsid w:val="00146745"/>
    <w:rsid w:val="001470E0"/>
    <w:rsid w:val="001472CC"/>
    <w:rsid w:val="00156D23"/>
    <w:rsid w:val="0016532C"/>
    <w:rsid w:val="00166024"/>
    <w:rsid w:val="00170C51"/>
    <w:rsid w:val="00171E03"/>
    <w:rsid w:val="00172B33"/>
    <w:rsid w:val="00176458"/>
    <w:rsid w:val="001816D2"/>
    <w:rsid w:val="00181D0A"/>
    <w:rsid w:val="00182EB6"/>
    <w:rsid w:val="0018571E"/>
    <w:rsid w:val="00197620"/>
    <w:rsid w:val="00197A7E"/>
    <w:rsid w:val="001A178F"/>
    <w:rsid w:val="001A644C"/>
    <w:rsid w:val="001A6D7A"/>
    <w:rsid w:val="001B4185"/>
    <w:rsid w:val="001C389F"/>
    <w:rsid w:val="001C75FA"/>
    <w:rsid w:val="001D560D"/>
    <w:rsid w:val="001E1BD8"/>
    <w:rsid w:val="001E2976"/>
    <w:rsid w:val="001E4754"/>
    <w:rsid w:val="001E61C5"/>
    <w:rsid w:val="001E7E7C"/>
    <w:rsid w:val="001E7FD5"/>
    <w:rsid w:val="001F0DFF"/>
    <w:rsid w:val="001F39C8"/>
    <w:rsid w:val="001F5744"/>
    <w:rsid w:val="001F57DA"/>
    <w:rsid w:val="00200F4A"/>
    <w:rsid w:val="0020164B"/>
    <w:rsid w:val="00201698"/>
    <w:rsid w:val="00201CA2"/>
    <w:rsid w:val="00210145"/>
    <w:rsid w:val="0021168A"/>
    <w:rsid w:val="00211B82"/>
    <w:rsid w:val="00213D40"/>
    <w:rsid w:val="00220050"/>
    <w:rsid w:val="002226CD"/>
    <w:rsid w:val="00225031"/>
    <w:rsid w:val="00225AD3"/>
    <w:rsid w:val="00227CA3"/>
    <w:rsid w:val="002301FA"/>
    <w:rsid w:val="00233651"/>
    <w:rsid w:val="002338D5"/>
    <w:rsid w:val="00252F58"/>
    <w:rsid w:val="00253890"/>
    <w:rsid w:val="002543A2"/>
    <w:rsid w:val="00257344"/>
    <w:rsid w:val="00265746"/>
    <w:rsid w:val="00266334"/>
    <w:rsid w:val="00273250"/>
    <w:rsid w:val="00274972"/>
    <w:rsid w:val="00275A99"/>
    <w:rsid w:val="00283865"/>
    <w:rsid w:val="00284EE6"/>
    <w:rsid w:val="00290682"/>
    <w:rsid w:val="00294728"/>
    <w:rsid w:val="002976F5"/>
    <w:rsid w:val="002A09F3"/>
    <w:rsid w:val="002A5DA3"/>
    <w:rsid w:val="002B18CE"/>
    <w:rsid w:val="002B72AC"/>
    <w:rsid w:val="002C16B8"/>
    <w:rsid w:val="002C4256"/>
    <w:rsid w:val="002C5783"/>
    <w:rsid w:val="002C6F3A"/>
    <w:rsid w:val="002D19CC"/>
    <w:rsid w:val="002E7AF7"/>
    <w:rsid w:val="002F178A"/>
    <w:rsid w:val="002F1A0B"/>
    <w:rsid w:val="00302454"/>
    <w:rsid w:val="003074C5"/>
    <w:rsid w:val="00307B9C"/>
    <w:rsid w:val="00312806"/>
    <w:rsid w:val="00316AEE"/>
    <w:rsid w:val="00320BA5"/>
    <w:rsid w:val="00323E5D"/>
    <w:rsid w:val="003269C1"/>
    <w:rsid w:val="00326F35"/>
    <w:rsid w:val="0032798E"/>
    <w:rsid w:val="00330D3B"/>
    <w:rsid w:val="0033412D"/>
    <w:rsid w:val="00335E8C"/>
    <w:rsid w:val="00343084"/>
    <w:rsid w:val="0034401F"/>
    <w:rsid w:val="003452C2"/>
    <w:rsid w:val="003477EE"/>
    <w:rsid w:val="0035230C"/>
    <w:rsid w:val="00352A22"/>
    <w:rsid w:val="003543D9"/>
    <w:rsid w:val="003557C0"/>
    <w:rsid w:val="00355C54"/>
    <w:rsid w:val="00356B03"/>
    <w:rsid w:val="00357551"/>
    <w:rsid w:val="00363FDD"/>
    <w:rsid w:val="003712C1"/>
    <w:rsid w:val="00373FB7"/>
    <w:rsid w:val="003841FB"/>
    <w:rsid w:val="0039418F"/>
    <w:rsid w:val="0039476F"/>
    <w:rsid w:val="003A3644"/>
    <w:rsid w:val="003A4244"/>
    <w:rsid w:val="003A517E"/>
    <w:rsid w:val="003A7BF1"/>
    <w:rsid w:val="003B0DF7"/>
    <w:rsid w:val="003B34AC"/>
    <w:rsid w:val="003B45D1"/>
    <w:rsid w:val="003B4CC2"/>
    <w:rsid w:val="003C1B4F"/>
    <w:rsid w:val="003C7DB9"/>
    <w:rsid w:val="003D30A5"/>
    <w:rsid w:val="003D3DEE"/>
    <w:rsid w:val="003E3F76"/>
    <w:rsid w:val="003E51FB"/>
    <w:rsid w:val="003F2C61"/>
    <w:rsid w:val="003F40A2"/>
    <w:rsid w:val="003F41A2"/>
    <w:rsid w:val="0040023A"/>
    <w:rsid w:val="00400989"/>
    <w:rsid w:val="0041151E"/>
    <w:rsid w:val="0041496C"/>
    <w:rsid w:val="004178F3"/>
    <w:rsid w:val="00420529"/>
    <w:rsid w:val="00420776"/>
    <w:rsid w:val="00421DED"/>
    <w:rsid w:val="004256E2"/>
    <w:rsid w:val="00427133"/>
    <w:rsid w:val="0043080F"/>
    <w:rsid w:val="0043176A"/>
    <w:rsid w:val="00431836"/>
    <w:rsid w:val="00432C6C"/>
    <w:rsid w:val="004335C6"/>
    <w:rsid w:val="004353DC"/>
    <w:rsid w:val="00435D46"/>
    <w:rsid w:val="00445C76"/>
    <w:rsid w:val="00445E66"/>
    <w:rsid w:val="00451D97"/>
    <w:rsid w:val="00455EAE"/>
    <w:rsid w:val="00460783"/>
    <w:rsid w:val="004627B3"/>
    <w:rsid w:val="00463837"/>
    <w:rsid w:val="004703B5"/>
    <w:rsid w:val="00472C5D"/>
    <w:rsid w:val="004758BD"/>
    <w:rsid w:val="00475C8E"/>
    <w:rsid w:val="00483B33"/>
    <w:rsid w:val="00486EC4"/>
    <w:rsid w:val="00491884"/>
    <w:rsid w:val="0049386D"/>
    <w:rsid w:val="004973CD"/>
    <w:rsid w:val="004A0CC0"/>
    <w:rsid w:val="004A7514"/>
    <w:rsid w:val="004A7F2A"/>
    <w:rsid w:val="004B11C4"/>
    <w:rsid w:val="004B1FBB"/>
    <w:rsid w:val="004B3708"/>
    <w:rsid w:val="004B39E7"/>
    <w:rsid w:val="004B5EAF"/>
    <w:rsid w:val="004C7C63"/>
    <w:rsid w:val="004D0F70"/>
    <w:rsid w:val="004D389D"/>
    <w:rsid w:val="004D4826"/>
    <w:rsid w:val="004E1409"/>
    <w:rsid w:val="004E3061"/>
    <w:rsid w:val="004E410A"/>
    <w:rsid w:val="004F6A4F"/>
    <w:rsid w:val="00504110"/>
    <w:rsid w:val="00506596"/>
    <w:rsid w:val="00507336"/>
    <w:rsid w:val="005126E0"/>
    <w:rsid w:val="00521D6A"/>
    <w:rsid w:val="00524BE9"/>
    <w:rsid w:val="00531F07"/>
    <w:rsid w:val="00533642"/>
    <w:rsid w:val="00535BCF"/>
    <w:rsid w:val="00536E53"/>
    <w:rsid w:val="00537267"/>
    <w:rsid w:val="00537F50"/>
    <w:rsid w:val="0054581C"/>
    <w:rsid w:val="00545E99"/>
    <w:rsid w:val="005547F5"/>
    <w:rsid w:val="00555DDA"/>
    <w:rsid w:val="00556860"/>
    <w:rsid w:val="00562B06"/>
    <w:rsid w:val="0057078B"/>
    <w:rsid w:val="0057407C"/>
    <w:rsid w:val="00574162"/>
    <w:rsid w:val="005755BD"/>
    <w:rsid w:val="00575F28"/>
    <w:rsid w:val="00577052"/>
    <w:rsid w:val="005905DF"/>
    <w:rsid w:val="00590BF6"/>
    <w:rsid w:val="00591509"/>
    <w:rsid w:val="005950E2"/>
    <w:rsid w:val="00596C47"/>
    <w:rsid w:val="005A1137"/>
    <w:rsid w:val="005A19DB"/>
    <w:rsid w:val="005A78A7"/>
    <w:rsid w:val="005B4E24"/>
    <w:rsid w:val="005B50F3"/>
    <w:rsid w:val="005B68CE"/>
    <w:rsid w:val="005C1991"/>
    <w:rsid w:val="005C1D56"/>
    <w:rsid w:val="005C2483"/>
    <w:rsid w:val="005C3CD4"/>
    <w:rsid w:val="005C3DCE"/>
    <w:rsid w:val="005D0612"/>
    <w:rsid w:val="005D1DDB"/>
    <w:rsid w:val="005D3671"/>
    <w:rsid w:val="005D4C98"/>
    <w:rsid w:val="005E03FC"/>
    <w:rsid w:val="005E1270"/>
    <w:rsid w:val="005E31E6"/>
    <w:rsid w:val="005E3275"/>
    <w:rsid w:val="005E6B80"/>
    <w:rsid w:val="005E7016"/>
    <w:rsid w:val="005F1227"/>
    <w:rsid w:val="005F3295"/>
    <w:rsid w:val="00601DA5"/>
    <w:rsid w:val="00606F1F"/>
    <w:rsid w:val="0061053C"/>
    <w:rsid w:val="00610DBD"/>
    <w:rsid w:val="00612157"/>
    <w:rsid w:val="00613321"/>
    <w:rsid w:val="006135E3"/>
    <w:rsid w:val="00613B79"/>
    <w:rsid w:val="00620E9B"/>
    <w:rsid w:val="006211E2"/>
    <w:rsid w:val="00622E06"/>
    <w:rsid w:val="00624822"/>
    <w:rsid w:val="00625EFB"/>
    <w:rsid w:val="006334FB"/>
    <w:rsid w:val="006339F5"/>
    <w:rsid w:val="00635B40"/>
    <w:rsid w:val="00640406"/>
    <w:rsid w:val="00641AF9"/>
    <w:rsid w:val="00643C4E"/>
    <w:rsid w:val="00653370"/>
    <w:rsid w:val="006602A6"/>
    <w:rsid w:val="00661B4C"/>
    <w:rsid w:val="00662C74"/>
    <w:rsid w:val="00667F4E"/>
    <w:rsid w:val="00670899"/>
    <w:rsid w:val="006709F6"/>
    <w:rsid w:val="006732EC"/>
    <w:rsid w:val="00673C65"/>
    <w:rsid w:val="00676E5F"/>
    <w:rsid w:val="00681AA7"/>
    <w:rsid w:val="00682F31"/>
    <w:rsid w:val="00684E09"/>
    <w:rsid w:val="00684F4B"/>
    <w:rsid w:val="0068611C"/>
    <w:rsid w:val="00695D7E"/>
    <w:rsid w:val="006B1948"/>
    <w:rsid w:val="006B25CF"/>
    <w:rsid w:val="006B43A4"/>
    <w:rsid w:val="006B4AA0"/>
    <w:rsid w:val="006B6F73"/>
    <w:rsid w:val="006B7B28"/>
    <w:rsid w:val="006C3CA1"/>
    <w:rsid w:val="006C4C9B"/>
    <w:rsid w:val="006C61E8"/>
    <w:rsid w:val="006C7EE6"/>
    <w:rsid w:val="006D0F9C"/>
    <w:rsid w:val="006D1AC7"/>
    <w:rsid w:val="006D68D6"/>
    <w:rsid w:val="006E413D"/>
    <w:rsid w:val="006E6FFA"/>
    <w:rsid w:val="006E71E9"/>
    <w:rsid w:val="006F0D65"/>
    <w:rsid w:val="006F163F"/>
    <w:rsid w:val="006F3C9D"/>
    <w:rsid w:val="006F498B"/>
    <w:rsid w:val="007022CE"/>
    <w:rsid w:val="00707DB5"/>
    <w:rsid w:val="00710DF0"/>
    <w:rsid w:val="00712309"/>
    <w:rsid w:val="0071375C"/>
    <w:rsid w:val="00722013"/>
    <w:rsid w:val="007221DF"/>
    <w:rsid w:val="00723528"/>
    <w:rsid w:val="00726473"/>
    <w:rsid w:val="00735B2A"/>
    <w:rsid w:val="00736F33"/>
    <w:rsid w:val="00743919"/>
    <w:rsid w:val="00745729"/>
    <w:rsid w:val="0074756C"/>
    <w:rsid w:val="00751484"/>
    <w:rsid w:val="007527CC"/>
    <w:rsid w:val="00755C45"/>
    <w:rsid w:val="00756C02"/>
    <w:rsid w:val="0075748E"/>
    <w:rsid w:val="007575FD"/>
    <w:rsid w:val="00757E1A"/>
    <w:rsid w:val="00762159"/>
    <w:rsid w:val="00762405"/>
    <w:rsid w:val="00762ABC"/>
    <w:rsid w:val="0076368C"/>
    <w:rsid w:val="00766186"/>
    <w:rsid w:val="0076687D"/>
    <w:rsid w:val="00777362"/>
    <w:rsid w:val="00782DC1"/>
    <w:rsid w:val="00786E27"/>
    <w:rsid w:val="00794758"/>
    <w:rsid w:val="007A43B8"/>
    <w:rsid w:val="007A4751"/>
    <w:rsid w:val="007A5FB7"/>
    <w:rsid w:val="007B1451"/>
    <w:rsid w:val="007B3BB7"/>
    <w:rsid w:val="007B3D73"/>
    <w:rsid w:val="007B6A25"/>
    <w:rsid w:val="007B6C52"/>
    <w:rsid w:val="007C0A17"/>
    <w:rsid w:val="007C5968"/>
    <w:rsid w:val="007D0264"/>
    <w:rsid w:val="007D332B"/>
    <w:rsid w:val="007E18F5"/>
    <w:rsid w:val="007E23EB"/>
    <w:rsid w:val="007F00B4"/>
    <w:rsid w:val="007F1D94"/>
    <w:rsid w:val="007F2378"/>
    <w:rsid w:val="007F4E9F"/>
    <w:rsid w:val="007F558C"/>
    <w:rsid w:val="007F674D"/>
    <w:rsid w:val="007F6B42"/>
    <w:rsid w:val="008041F2"/>
    <w:rsid w:val="008063BA"/>
    <w:rsid w:val="008065CA"/>
    <w:rsid w:val="00810A21"/>
    <w:rsid w:val="00815E91"/>
    <w:rsid w:val="00820F7D"/>
    <w:rsid w:val="00821263"/>
    <w:rsid w:val="00821827"/>
    <w:rsid w:val="00825936"/>
    <w:rsid w:val="00826983"/>
    <w:rsid w:val="00826C2C"/>
    <w:rsid w:val="008273BA"/>
    <w:rsid w:val="00834A96"/>
    <w:rsid w:val="00834AA2"/>
    <w:rsid w:val="00841F0F"/>
    <w:rsid w:val="00850028"/>
    <w:rsid w:val="00853291"/>
    <w:rsid w:val="0085590B"/>
    <w:rsid w:val="008619FC"/>
    <w:rsid w:val="00861CEF"/>
    <w:rsid w:val="00861E7F"/>
    <w:rsid w:val="00863BCD"/>
    <w:rsid w:val="0086501B"/>
    <w:rsid w:val="008703FD"/>
    <w:rsid w:val="00874024"/>
    <w:rsid w:val="00875905"/>
    <w:rsid w:val="0088602D"/>
    <w:rsid w:val="0089642F"/>
    <w:rsid w:val="008965C6"/>
    <w:rsid w:val="00897E86"/>
    <w:rsid w:val="008A0BB3"/>
    <w:rsid w:val="008A1527"/>
    <w:rsid w:val="008A5EB1"/>
    <w:rsid w:val="008A7681"/>
    <w:rsid w:val="008B3619"/>
    <w:rsid w:val="008C276A"/>
    <w:rsid w:val="008D0CF8"/>
    <w:rsid w:val="008D105B"/>
    <w:rsid w:val="008D2EA8"/>
    <w:rsid w:val="008D3B00"/>
    <w:rsid w:val="008D3F68"/>
    <w:rsid w:val="008D62C3"/>
    <w:rsid w:val="008E15E7"/>
    <w:rsid w:val="008E2D07"/>
    <w:rsid w:val="008E3BB4"/>
    <w:rsid w:val="008E4456"/>
    <w:rsid w:val="008E59AF"/>
    <w:rsid w:val="008F1F43"/>
    <w:rsid w:val="008F67A5"/>
    <w:rsid w:val="00900BC5"/>
    <w:rsid w:val="00902674"/>
    <w:rsid w:val="00912158"/>
    <w:rsid w:val="00912AF4"/>
    <w:rsid w:val="00913042"/>
    <w:rsid w:val="00915FEB"/>
    <w:rsid w:val="00916B84"/>
    <w:rsid w:val="00916C1B"/>
    <w:rsid w:val="009233F8"/>
    <w:rsid w:val="009300F1"/>
    <w:rsid w:val="00930BB2"/>
    <w:rsid w:val="009311DA"/>
    <w:rsid w:val="00931F76"/>
    <w:rsid w:val="00934216"/>
    <w:rsid w:val="00936A06"/>
    <w:rsid w:val="00940535"/>
    <w:rsid w:val="00942E76"/>
    <w:rsid w:val="00944F98"/>
    <w:rsid w:val="00951885"/>
    <w:rsid w:val="009546DF"/>
    <w:rsid w:val="009561BD"/>
    <w:rsid w:val="00961B22"/>
    <w:rsid w:val="00971026"/>
    <w:rsid w:val="00974398"/>
    <w:rsid w:val="00976391"/>
    <w:rsid w:val="00976DDD"/>
    <w:rsid w:val="009804F1"/>
    <w:rsid w:val="00985189"/>
    <w:rsid w:val="009862F1"/>
    <w:rsid w:val="00990A09"/>
    <w:rsid w:val="009922FE"/>
    <w:rsid w:val="0099352C"/>
    <w:rsid w:val="0099383B"/>
    <w:rsid w:val="009939DE"/>
    <w:rsid w:val="00997E55"/>
    <w:rsid w:val="009A0900"/>
    <w:rsid w:val="009A149F"/>
    <w:rsid w:val="009A23CA"/>
    <w:rsid w:val="009A2487"/>
    <w:rsid w:val="009A2BC9"/>
    <w:rsid w:val="009A4988"/>
    <w:rsid w:val="009B144A"/>
    <w:rsid w:val="009B3BBA"/>
    <w:rsid w:val="009B446D"/>
    <w:rsid w:val="009B6609"/>
    <w:rsid w:val="009B75A4"/>
    <w:rsid w:val="009C6A86"/>
    <w:rsid w:val="009D13E1"/>
    <w:rsid w:val="009D2BD0"/>
    <w:rsid w:val="009E4595"/>
    <w:rsid w:val="009E4DEA"/>
    <w:rsid w:val="009E75FE"/>
    <w:rsid w:val="009F2B3D"/>
    <w:rsid w:val="00A002C7"/>
    <w:rsid w:val="00A02486"/>
    <w:rsid w:val="00A03F92"/>
    <w:rsid w:val="00A0455D"/>
    <w:rsid w:val="00A131FA"/>
    <w:rsid w:val="00A13794"/>
    <w:rsid w:val="00A154FF"/>
    <w:rsid w:val="00A158DF"/>
    <w:rsid w:val="00A168E0"/>
    <w:rsid w:val="00A16DAC"/>
    <w:rsid w:val="00A170D6"/>
    <w:rsid w:val="00A2113C"/>
    <w:rsid w:val="00A25DEB"/>
    <w:rsid w:val="00A30F57"/>
    <w:rsid w:val="00A35E17"/>
    <w:rsid w:val="00A3795C"/>
    <w:rsid w:val="00A44ED9"/>
    <w:rsid w:val="00A474CA"/>
    <w:rsid w:val="00A519BB"/>
    <w:rsid w:val="00A529FC"/>
    <w:rsid w:val="00A52E69"/>
    <w:rsid w:val="00A55FB0"/>
    <w:rsid w:val="00A61597"/>
    <w:rsid w:val="00A64C1F"/>
    <w:rsid w:val="00A73304"/>
    <w:rsid w:val="00A82640"/>
    <w:rsid w:val="00A82812"/>
    <w:rsid w:val="00A923D6"/>
    <w:rsid w:val="00A96031"/>
    <w:rsid w:val="00A97984"/>
    <w:rsid w:val="00AA5247"/>
    <w:rsid w:val="00AA5976"/>
    <w:rsid w:val="00AA72C9"/>
    <w:rsid w:val="00AA7A05"/>
    <w:rsid w:val="00AB1AF0"/>
    <w:rsid w:val="00AB34FF"/>
    <w:rsid w:val="00AB3629"/>
    <w:rsid w:val="00AB4420"/>
    <w:rsid w:val="00AB5083"/>
    <w:rsid w:val="00AC25F2"/>
    <w:rsid w:val="00AC3EC4"/>
    <w:rsid w:val="00AC5E59"/>
    <w:rsid w:val="00AD1119"/>
    <w:rsid w:val="00AD5F06"/>
    <w:rsid w:val="00AD75F1"/>
    <w:rsid w:val="00AE2DED"/>
    <w:rsid w:val="00AE3E80"/>
    <w:rsid w:val="00AE4921"/>
    <w:rsid w:val="00AE5B24"/>
    <w:rsid w:val="00AF2B3E"/>
    <w:rsid w:val="00AF317F"/>
    <w:rsid w:val="00AF4ACA"/>
    <w:rsid w:val="00AF5C42"/>
    <w:rsid w:val="00AF63E4"/>
    <w:rsid w:val="00B035AC"/>
    <w:rsid w:val="00B03ACB"/>
    <w:rsid w:val="00B03D89"/>
    <w:rsid w:val="00B05030"/>
    <w:rsid w:val="00B05A62"/>
    <w:rsid w:val="00B14AC6"/>
    <w:rsid w:val="00B15664"/>
    <w:rsid w:val="00B17576"/>
    <w:rsid w:val="00B204AB"/>
    <w:rsid w:val="00B2184B"/>
    <w:rsid w:val="00B2188D"/>
    <w:rsid w:val="00B22F13"/>
    <w:rsid w:val="00B330CD"/>
    <w:rsid w:val="00B358B4"/>
    <w:rsid w:val="00B4225D"/>
    <w:rsid w:val="00B45DF0"/>
    <w:rsid w:val="00B47AB2"/>
    <w:rsid w:val="00B5111E"/>
    <w:rsid w:val="00B5457E"/>
    <w:rsid w:val="00B57F0C"/>
    <w:rsid w:val="00B61505"/>
    <w:rsid w:val="00B64CC3"/>
    <w:rsid w:val="00B72870"/>
    <w:rsid w:val="00B80E9E"/>
    <w:rsid w:val="00B84917"/>
    <w:rsid w:val="00B864D0"/>
    <w:rsid w:val="00B86E18"/>
    <w:rsid w:val="00B87194"/>
    <w:rsid w:val="00B90184"/>
    <w:rsid w:val="00BA291A"/>
    <w:rsid w:val="00BA6354"/>
    <w:rsid w:val="00BB047A"/>
    <w:rsid w:val="00BB08B3"/>
    <w:rsid w:val="00BD4021"/>
    <w:rsid w:val="00BD6470"/>
    <w:rsid w:val="00BE423A"/>
    <w:rsid w:val="00BE5554"/>
    <w:rsid w:val="00BE6539"/>
    <w:rsid w:val="00BF0A81"/>
    <w:rsid w:val="00BF2134"/>
    <w:rsid w:val="00BF7209"/>
    <w:rsid w:val="00C005BB"/>
    <w:rsid w:val="00C0078E"/>
    <w:rsid w:val="00C10495"/>
    <w:rsid w:val="00C17809"/>
    <w:rsid w:val="00C24538"/>
    <w:rsid w:val="00C306AF"/>
    <w:rsid w:val="00C30DD5"/>
    <w:rsid w:val="00C34C14"/>
    <w:rsid w:val="00C41388"/>
    <w:rsid w:val="00C428DE"/>
    <w:rsid w:val="00C45B81"/>
    <w:rsid w:val="00C50908"/>
    <w:rsid w:val="00C50A5E"/>
    <w:rsid w:val="00C5421D"/>
    <w:rsid w:val="00C559E8"/>
    <w:rsid w:val="00C575DB"/>
    <w:rsid w:val="00C57D5E"/>
    <w:rsid w:val="00C60AAB"/>
    <w:rsid w:val="00C61073"/>
    <w:rsid w:val="00C632FB"/>
    <w:rsid w:val="00C677EC"/>
    <w:rsid w:val="00C726F7"/>
    <w:rsid w:val="00C74CDB"/>
    <w:rsid w:val="00C756DD"/>
    <w:rsid w:val="00C8266F"/>
    <w:rsid w:val="00C83FF9"/>
    <w:rsid w:val="00C85C98"/>
    <w:rsid w:val="00C872CA"/>
    <w:rsid w:val="00C87BC6"/>
    <w:rsid w:val="00C90374"/>
    <w:rsid w:val="00C9094F"/>
    <w:rsid w:val="00C957F3"/>
    <w:rsid w:val="00CA77CE"/>
    <w:rsid w:val="00CB3E0E"/>
    <w:rsid w:val="00CB54DB"/>
    <w:rsid w:val="00CC36AA"/>
    <w:rsid w:val="00CC3A68"/>
    <w:rsid w:val="00CC3E21"/>
    <w:rsid w:val="00CC44BA"/>
    <w:rsid w:val="00CC518D"/>
    <w:rsid w:val="00CC55B3"/>
    <w:rsid w:val="00CC5ADF"/>
    <w:rsid w:val="00CC6A7C"/>
    <w:rsid w:val="00CD143B"/>
    <w:rsid w:val="00CD15D3"/>
    <w:rsid w:val="00CD2555"/>
    <w:rsid w:val="00CD6566"/>
    <w:rsid w:val="00CE0F21"/>
    <w:rsid w:val="00CE1303"/>
    <w:rsid w:val="00CE6744"/>
    <w:rsid w:val="00CF2BB0"/>
    <w:rsid w:val="00CF4FDD"/>
    <w:rsid w:val="00CF53F7"/>
    <w:rsid w:val="00D01A9B"/>
    <w:rsid w:val="00D03937"/>
    <w:rsid w:val="00D10023"/>
    <w:rsid w:val="00D1262E"/>
    <w:rsid w:val="00D12644"/>
    <w:rsid w:val="00D13118"/>
    <w:rsid w:val="00D17192"/>
    <w:rsid w:val="00D20DAC"/>
    <w:rsid w:val="00D21E34"/>
    <w:rsid w:val="00D228A4"/>
    <w:rsid w:val="00D23DE2"/>
    <w:rsid w:val="00D2518D"/>
    <w:rsid w:val="00D3184C"/>
    <w:rsid w:val="00D348DF"/>
    <w:rsid w:val="00D43572"/>
    <w:rsid w:val="00D45319"/>
    <w:rsid w:val="00D47ECC"/>
    <w:rsid w:val="00D5087E"/>
    <w:rsid w:val="00D5355E"/>
    <w:rsid w:val="00D54413"/>
    <w:rsid w:val="00D558DF"/>
    <w:rsid w:val="00D62A93"/>
    <w:rsid w:val="00D63393"/>
    <w:rsid w:val="00D635DC"/>
    <w:rsid w:val="00D64C19"/>
    <w:rsid w:val="00D65858"/>
    <w:rsid w:val="00D65CFD"/>
    <w:rsid w:val="00D72F13"/>
    <w:rsid w:val="00D75FAF"/>
    <w:rsid w:val="00D777C3"/>
    <w:rsid w:val="00D84163"/>
    <w:rsid w:val="00D85894"/>
    <w:rsid w:val="00D85C1F"/>
    <w:rsid w:val="00D86402"/>
    <w:rsid w:val="00D907E4"/>
    <w:rsid w:val="00D97443"/>
    <w:rsid w:val="00DA0176"/>
    <w:rsid w:val="00DA1E8B"/>
    <w:rsid w:val="00DA631E"/>
    <w:rsid w:val="00DB0E03"/>
    <w:rsid w:val="00DB2F2A"/>
    <w:rsid w:val="00DB3499"/>
    <w:rsid w:val="00DC7B0C"/>
    <w:rsid w:val="00DD046B"/>
    <w:rsid w:val="00DD0790"/>
    <w:rsid w:val="00DD0C8D"/>
    <w:rsid w:val="00DD1B6A"/>
    <w:rsid w:val="00DD4ECB"/>
    <w:rsid w:val="00DD510F"/>
    <w:rsid w:val="00DE092A"/>
    <w:rsid w:val="00DE2223"/>
    <w:rsid w:val="00DE5DFB"/>
    <w:rsid w:val="00DF13AA"/>
    <w:rsid w:val="00DF5496"/>
    <w:rsid w:val="00DF5F6B"/>
    <w:rsid w:val="00E0273B"/>
    <w:rsid w:val="00E02986"/>
    <w:rsid w:val="00E04E31"/>
    <w:rsid w:val="00E055C0"/>
    <w:rsid w:val="00E05D17"/>
    <w:rsid w:val="00E07140"/>
    <w:rsid w:val="00E12AE0"/>
    <w:rsid w:val="00E1404F"/>
    <w:rsid w:val="00E16948"/>
    <w:rsid w:val="00E16FDE"/>
    <w:rsid w:val="00E17A9D"/>
    <w:rsid w:val="00E238AB"/>
    <w:rsid w:val="00E23B98"/>
    <w:rsid w:val="00E311F2"/>
    <w:rsid w:val="00E31BEF"/>
    <w:rsid w:val="00E322EB"/>
    <w:rsid w:val="00E34427"/>
    <w:rsid w:val="00E40B4B"/>
    <w:rsid w:val="00E425C1"/>
    <w:rsid w:val="00E445B4"/>
    <w:rsid w:val="00E455F5"/>
    <w:rsid w:val="00E61508"/>
    <w:rsid w:val="00E619A7"/>
    <w:rsid w:val="00E61C8E"/>
    <w:rsid w:val="00E62FD0"/>
    <w:rsid w:val="00E7159D"/>
    <w:rsid w:val="00E73C11"/>
    <w:rsid w:val="00E76D41"/>
    <w:rsid w:val="00E91B68"/>
    <w:rsid w:val="00E92AF8"/>
    <w:rsid w:val="00E93DFB"/>
    <w:rsid w:val="00E974AC"/>
    <w:rsid w:val="00EA3FE7"/>
    <w:rsid w:val="00EA497C"/>
    <w:rsid w:val="00EA4AEF"/>
    <w:rsid w:val="00EA79C0"/>
    <w:rsid w:val="00EA7D8D"/>
    <w:rsid w:val="00EA7E6E"/>
    <w:rsid w:val="00EB05B8"/>
    <w:rsid w:val="00EB21AB"/>
    <w:rsid w:val="00EB2FBB"/>
    <w:rsid w:val="00EB413D"/>
    <w:rsid w:val="00EB4CED"/>
    <w:rsid w:val="00EB7E98"/>
    <w:rsid w:val="00EC08E4"/>
    <w:rsid w:val="00EC0E4B"/>
    <w:rsid w:val="00EC18EB"/>
    <w:rsid w:val="00EC4CF6"/>
    <w:rsid w:val="00ED203D"/>
    <w:rsid w:val="00ED2F41"/>
    <w:rsid w:val="00EE235A"/>
    <w:rsid w:val="00EE3B90"/>
    <w:rsid w:val="00EF6F35"/>
    <w:rsid w:val="00F02876"/>
    <w:rsid w:val="00F04CD0"/>
    <w:rsid w:val="00F14249"/>
    <w:rsid w:val="00F14F4A"/>
    <w:rsid w:val="00F154A8"/>
    <w:rsid w:val="00F16347"/>
    <w:rsid w:val="00F176EA"/>
    <w:rsid w:val="00F21887"/>
    <w:rsid w:val="00F32D7B"/>
    <w:rsid w:val="00F40773"/>
    <w:rsid w:val="00F412B8"/>
    <w:rsid w:val="00F424D1"/>
    <w:rsid w:val="00F45587"/>
    <w:rsid w:val="00F47220"/>
    <w:rsid w:val="00F47F06"/>
    <w:rsid w:val="00F51083"/>
    <w:rsid w:val="00F51159"/>
    <w:rsid w:val="00F53966"/>
    <w:rsid w:val="00F57271"/>
    <w:rsid w:val="00F6132F"/>
    <w:rsid w:val="00F6198A"/>
    <w:rsid w:val="00F63460"/>
    <w:rsid w:val="00F65783"/>
    <w:rsid w:val="00F65BF1"/>
    <w:rsid w:val="00F663B1"/>
    <w:rsid w:val="00F759C3"/>
    <w:rsid w:val="00F80B13"/>
    <w:rsid w:val="00F83608"/>
    <w:rsid w:val="00F91971"/>
    <w:rsid w:val="00F93DED"/>
    <w:rsid w:val="00F94672"/>
    <w:rsid w:val="00F9664A"/>
    <w:rsid w:val="00F967F8"/>
    <w:rsid w:val="00F97AA5"/>
    <w:rsid w:val="00FA397B"/>
    <w:rsid w:val="00FA7BED"/>
    <w:rsid w:val="00FC71A4"/>
    <w:rsid w:val="00FD1244"/>
    <w:rsid w:val="00FD202C"/>
    <w:rsid w:val="00FE19A2"/>
    <w:rsid w:val="00FE71A2"/>
    <w:rsid w:val="00FE7B78"/>
    <w:rsid w:val="00FF3485"/>
    <w:rsid w:val="00FF5584"/>
    <w:rsid w:val="00FF65E7"/>
    <w:rsid w:val="00FF73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6C29"/>
  <w15:chartTrackingRefBased/>
  <w15:docId w15:val="{DCCB3827-9682-4C83-BCE8-3E5357CE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D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079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41F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04AB"/>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61B22"/>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961B22"/>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FD"/>
    <w:pPr>
      <w:spacing w:after="160" w:line="259" w:lineRule="auto"/>
      <w:ind w:left="720"/>
      <w:contextualSpacing/>
    </w:pPr>
    <w:rPr>
      <w:rFonts w:asciiTheme="minorHAnsi" w:eastAsiaTheme="minorEastAsia" w:hAnsiTheme="minorHAnsi" w:cstheme="minorBidi"/>
      <w:sz w:val="22"/>
      <w:szCs w:val="22"/>
    </w:rPr>
  </w:style>
  <w:style w:type="paragraph" w:styleId="FootnoteText">
    <w:name w:val="footnote text"/>
    <w:aliases w:val="Footnotes"/>
    <w:basedOn w:val="Normal"/>
    <w:link w:val="FootnoteTextChar"/>
    <w:uiPriority w:val="99"/>
    <w:unhideWhenUsed/>
    <w:qFormat/>
    <w:rsid w:val="00CC3E21"/>
    <w:rPr>
      <w:rFonts w:asciiTheme="minorHAnsi" w:eastAsiaTheme="minorEastAsia" w:hAnsiTheme="minorHAnsi" w:cstheme="minorBidi"/>
      <w:sz w:val="20"/>
      <w:szCs w:val="20"/>
    </w:rPr>
  </w:style>
  <w:style w:type="character" w:customStyle="1" w:styleId="FootnoteTextChar">
    <w:name w:val="Footnote Text Char"/>
    <w:aliases w:val="Footnotes Char"/>
    <w:basedOn w:val="DefaultParagraphFont"/>
    <w:link w:val="FootnoteText"/>
    <w:uiPriority w:val="99"/>
    <w:rsid w:val="00CC3E21"/>
    <w:rPr>
      <w:sz w:val="20"/>
      <w:szCs w:val="20"/>
    </w:rPr>
  </w:style>
  <w:style w:type="character" w:styleId="FootnoteReference">
    <w:name w:val="footnote reference"/>
    <w:basedOn w:val="DefaultParagraphFont"/>
    <w:unhideWhenUsed/>
    <w:rsid w:val="00CC3E21"/>
    <w:rPr>
      <w:vertAlign w:val="superscript"/>
    </w:rPr>
  </w:style>
  <w:style w:type="paragraph" w:styleId="Header">
    <w:name w:val="header"/>
    <w:basedOn w:val="Normal"/>
    <w:link w:val="HeaderChar"/>
    <w:uiPriority w:val="99"/>
    <w:unhideWhenUsed/>
    <w:rsid w:val="00F16347"/>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F16347"/>
  </w:style>
  <w:style w:type="paragraph" w:styleId="Footer">
    <w:name w:val="footer"/>
    <w:basedOn w:val="Normal"/>
    <w:link w:val="FooterChar"/>
    <w:uiPriority w:val="99"/>
    <w:unhideWhenUsed/>
    <w:rsid w:val="00F16347"/>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16347"/>
  </w:style>
  <w:style w:type="paragraph" w:customStyle="1" w:styleId="Default">
    <w:name w:val="Default"/>
    <w:rsid w:val="007D33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85C98"/>
    <w:rPr>
      <w:color w:val="0563C1" w:themeColor="hyperlink"/>
      <w:u w:val="single"/>
    </w:rPr>
  </w:style>
  <w:style w:type="character" w:styleId="UnresolvedMention">
    <w:name w:val="Unresolved Mention"/>
    <w:basedOn w:val="DefaultParagraphFont"/>
    <w:uiPriority w:val="99"/>
    <w:semiHidden/>
    <w:unhideWhenUsed/>
    <w:rsid w:val="00C85C98"/>
    <w:rPr>
      <w:color w:val="605E5C"/>
      <w:shd w:val="clear" w:color="auto" w:fill="E1DFDD"/>
    </w:rPr>
  </w:style>
  <w:style w:type="character" w:styleId="Emphasis">
    <w:name w:val="Emphasis"/>
    <w:basedOn w:val="DefaultParagraphFont"/>
    <w:uiPriority w:val="20"/>
    <w:qFormat/>
    <w:rsid w:val="00C306AF"/>
    <w:rPr>
      <w:i/>
      <w:iCs/>
    </w:rPr>
  </w:style>
  <w:style w:type="paragraph" w:styleId="NormalWeb">
    <w:name w:val="Normal (Web)"/>
    <w:basedOn w:val="Normal"/>
    <w:uiPriority w:val="99"/>
    <w:unhideWhenUsed/>
    <w:rsid w:val="00E61C8E"/>
    <w:pPr>
      <w:spacing w:before="100" w:beforeAutospacing="1" w:after="100" w:afterAutospacing="1"/>
    </w:pPr>
  </w:style>
  <w:style w:type="character" w:customStyle="1" w:styleId="footnotereferrer">
    <w:name w:val="footnote_referrer"/>
    <w:basedOn w:val="DefaultParagraphFont"/>
    <w:rsid w:val="001470E0"/>
  </w:style>
  <w:style w:type="character" w:customStyle="1" w:styleId="Heading5Char">
    <w:name w:val="Heading 5 Char"/>
    <w:basedOn w:val="DefaultParagraphFont"/>
    <w:link w:val="Heading5"/>
    <w:uiPriority w:val="9"/>
    <w:rsid w:val="00961B2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61B22"/>
    <w:rPr>
      <w:rFonts w:ascii="Times New Roman" w:eastAsia="Times New Roman" w:hAnsi="Times New Roman" w:cs="Times New Roman"/>
      <w:b/>
      <w:bCs/>
      <w:sz w:val="15"/>
      <w:szCs w:val="15"/>
    </w:rPr>
  </w:style>
  <w:style w:type="paragraph" w:customStyle="1" w:styleId="mt-20">
    <w:name w:val="mt-20"/>
    <w:basedOn w:val="Normal"/>
    <w:rsid w:val="00961B22"/>
    <w:pPr>
      <w:spacing w:before="100" w:beforeAutospacing="1" w:after="100" w:afterAutospacing="1"/>
    </w:pPr>
  </w:style>
  <w:style w:type="character" w:customStyle="1" w:styleId="layout-fill">
    <w:name w:val="layout-fill"/>
    <w:basedOn w:val="DefaultParagraphFont"/>
    <w:rsid w:val="002F1A0B"/>
  </w:style>
  <w:style w:type="character" w:styleId="FollowedHyperlink">
    <w:name w:val="FollowedHyperlink"/>
    <w:basedOn w:val="DefaultParagraphFont"/>
    <w:uiPriority w:val="99"/>
    <w:semiHidden/>
    <w:unhideWhenUsed/>
    <w:rsid w:val="005905DF"/>
    <w:rPr>
      <w:color w:val="954F72" w:themeColor="followedHyperlink"/>
      <w:u w:val="single"/>
    </w:rPr>
  </w:style>
  <w:style w:type="character" w:customStyle="1" w:styleId="Heading2Char">
    <w:name w:val="Heading 2 Char"/>
    <w:basedOn w:val="DefaultParagraphFont"/>
    <w:link w:val="Heading2"/>
    <w:uiPriority w:val="9"/>
    <w:rsid w:val="003841F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D079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204AB"/>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863BCD"/>
    <w:pPr>
      <w:spacing w:after="0" w:line="240" w:lineRule="auto"/>
    </w:pPr>
  </w:style>
  <w:style w:type="character" w:customStyle="1" w:styleId="media-delimiter">
    <w:name w:val="media-delimiter"/>
    <w:basedOn w:val="DefaultParagraphFont"/>
    <w:rsid w:val="008E15E7"/>
  </w:style>
  <w:style w:type="character" w:customStyle="1" w:styleId="source-link">
    <w:name w:val="source-link"/>
    <w:basedOn w:val="DefaultParagraphFont"/>
    <w:rsid w:val="007B3BB7"/>
  </w:style>
  <w:style w:type="character" w:styleId="Strong">
    <w:name w:val="Strong"/>
    <w:basedOn w:val="DefaultParagraphFont"/>
    <w:uiPriority w:val="22"/>
    <w:qFormat/>
    <w:rsid w:val="005F1227"/>
    <w:rPr>
      <w:b/>
      <w:bCs/>
    </w:rPr>
  </w:style>
  <w:style w:type="character" w:customStyle="1" w:styleId="im">
    <w:name w:val="im"/>
    <w:basedOn w:val="DefaultParagraphFont"/>
    <w:rsid w:val="0042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324">
      <w:bodyDiv w:val="1"/>
      <w:marLeft w:val="0"/>
      <w:marRight w:val="0"/>
      <w:marTop w:val="0"/>
      <w:marBottom w:val="0"/>
      <w:divBdr>
        <w:top w:val="none" w:sz="0" w:space="0" w:color="auto"/>
        <w:left w:val="none" w:sz="0" w:space="0" w:color="auto"/>
        <w:bottom w:val="none" w:sz="0" w:space="0" w:color="auto"/>
        <w:right w:val="none" w:sz="0" w:space="0" w:color="auto"/>
      </w:divBdr>
    </w:div>
    <w:div w:id="11761242">
      <w:bodyDiv w:val="1"/>
      <w:marLeft w:val="0"/>
      <w:marRight w:val="0"/>
      <w:marTop w:val="0"/>
      <w:marBottom w:val="0"/>
      <w:divBdr>
        <w:top w:val="none" w:sz="0" w:space="0" w:color="auto"/>
        <w:left w:val="none" w:sz="0" w:space="0" w:color="auto"/>
        <w:bottom w:val="none" w:sz="0" w:space="0" w:color="auto"/>
        <w:right w:val="none" w:sz="0" w:space="0" w:color="auto"/>
      </w:divBdr>
    </w:div>
    <w:div w:id="56976332">
      <w:bodyDiv w:val="1"/>
      <w:marLeft w:val="0"/>
      <w:marRight w:val="0"/>
      <w:marTop w:val="0"/>
      <w:marBottom w:val="0"/>
      <w:divBdr>
        <w:top w:val="none" w:sz="0" w:space="0" w:color="auto"/>
        <w:left w:val="none" w:sz="0" w:space="0" w:color="auto"/>
        <w:bottom w:val="none" w:sz="0" w:space="0" w:color="auto"/>
        <w:right w:val="none" w:sz="0" w:space="0" w:color="auto"/>
      </w:divBdr>
      <w:divsChild>
        <w:div w:id="468859965">
          <w:marLeft w:val="0"/>
          <w:marRight w:val="0"/>
          <w:marTop w:val="0"/>
          <w:marBottom w:val="0"/>
          <w:divBdr>
            <w:top w:val="none" w:sz="0" w:space="0" w:color="auto"/>
            <w:left w:val="none" w:sz="0" w:space="0" w:color="auto"/>
            <w:bottom w:val="none" w:sz="0" w:space="0" w:color="auto"/>
            <w:right w:val="none" w:sz="0" w:space="0" w:color="auto"/>
          </w:divBdr>
        </w:div>
      </w:divsChild>
    </w:div>
    <w:div w:id="59645948">
      <w:bodyDiv w:val="1"/>
      <w:marLeft w:val="0"/>
      <w:marRight w:val="0"/>
      <w:marTop w:val="0"/>
      <w:marBottom w:val="0"/>
      <w:divBdr>
        <w:top w:val="none" w:sz="0" w:space="0" w:color="auto"/>
        <w:left w:val="none" w:sz="0" w:space="0" w:color="auto"/>
        <w:bottom w:val="none" w:sz="0" w:space="0" w:color="auto"/>
        <w:right w:val="none" w:sz="0" w:space="0" w:color="auto"/>
      </w:divBdr>
      <w:divsChild>
        <w:div w:id="105396875">
          <w:marLeft w:val="0"/>
          <w:marRight w:val="0"/>
          <w:marTop w:val="0"/>
          <w:marBottom w:val="0"/>
          <w:divBdr>
            <w:top w:val="none" w:sz="0" w:space="0" w:color="auto"/>
            <w:left w:val="none" w:sz="0" w:space="0" w:color="auto"/>
            <w:bottom w:val="none" w:sz="0" w:space="0" w:color="auto"/>
            <w:right w:val="none" w:sz="0" w:space="0" w:color="auto"/>
          </w:divBdr>
          <w:divsChild>
            <w:div w:id="687633643">
              <w:marLeft w:val="0"/>
              <w:marRight w:val="0"/>
              <w:marTop w:val="0"/>
              <w:marBottom w:val="0"/>
              <w:divBdr>
                <w:top w:val="none" w:sz="0" w:space="0" w:color="auto"/>
                <w:left w:val="none" w:sz="0" w:space="0" w:color="auto"/>
                <w:bottom w:val="none" w:sz="0" w:space="0" w:color="auto"/>
                <w:right w:val="none" w:sz="0" w:space="0" w:color="auto"/>
              </w:divBdr>
              <w:divsChild>
                <w:div w:id="20246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808">
      <w:bodyDiv w:val="1"/>
      <w:marLeft w:val="0"/>
      <w:marRight w:val="0"/>
      <w:marTop w:val="0"/>
      <w:marBottom w:val="0"/>
      <w:divBdr>
        <w:top w:val="none" w:sz="0" w:space="0" w:color="auto"/>
        <w:left w:val="none" w:sz="0" w:space="0" w:color="auto"/>
        <w:bottom w:val="none" w:sz="0" w:space="0" w:color="auto"/>
        <w:right w:val="none" w:sz="0" w:space="0" w:color="auto"/>
      </w:divBdr>
    </w:div>
    <w:div w:id="64956416">
      <w:bodyDiv w:val="1"/>
      <w:marLeft w:val="0"/>
      <w:marRight w:val="0"/>
      <w:marTop w:val="0"/>
      <w:marBottom w:val="0"/>
      <w:divBdr>
        <w:top w:val="none" w:sz="0" w:space="0" w:color="auto"/>
        <w:left w:val="none" w:sz="0" w:space="0" w:color="auto"/>
        <w:bottom w:val="none" w:sz="0" w:space="0" w:color="auto"/>
        <w:right w:val="none" w:sz="0" w:space="0" w:color="auto"/>
      </w:divBdr>
    </w:div>
    <w:div w:id="72821417">
      <w:bodyDiv w:val="1"/>
      <w:marLeft w:val="0"/>
      <w:marRight w:val="0"/>
      <w:marTop w:val="0"/>
      <w:marBottom w:val="0"/>
      <w:divBdr>
        <w:top w:val="none" w:sz="0" w:space="0" w:color="auto"/>
        <w:left w:val="none" w:sz="0" w:space="0" w:color="auto"/>
        <w:bottom w:val="none" w:sz="0" w:space="0" w:color="auto"/>
        <w:right w:val="none" w:sz="0" w:space="0" w:color="auto"/>
      </w:divBdr>
    </w:div>
    <w:div w:id="103035544">
      <w:bodyDiv w:val="1"/>
      <w:marLeft w:val="0"/>
      <w:marRight w:val="0"/>
      <w:marTop w:val="0"/>
      <w:marBottom w:val="0"/>
      <w:divBdr>
        <w:top w:val="none" w:sz="0" w:space="0" w:color="auto"/>
        <w:left w:val="none" w:sz="0" w:space="0" w:color="auto"/>
        <w:bottom w:val="none" w:sz="0" w:space="0" w:color="auto"/>
        <w:right w:val="none" w:sz="0" w:space="0" w:color="auto"/>
      </w:divBdr>
    </w:div>
    <w:div w:id="197939649">
      <w:bodyDiv w:val="1"/>
      <w:marLeft w:val="0"/>
      <w:marRight w:val="0"/>
      <w:marTop w:val="0"/>
      <w:marBottom w:val="0"/>
      <w:divBdr>
        <w:top w:val="none" w:sz="0" w:space="0" w:color="auto"/>
        <w:left w:val="none" w:sz="0" w:space="0" w:color="auto"/>
        <w:bottom w:val="none" w:sz="0" w:space="0" w:color="auto"/>
        <w:right w:val="none" w:sz="0" w:space="0" w:color="auto"/>
      </w:divBdr>
      <w:divsChild>
        <w:div w:id="344791556">
          <w:marLeft w:val="0"/>
          <w:marRight w:val="0"/>
          <w:marTop w:val="0"/>
          <w:marBottom w:val="0"/>
          <w:divBdr>
            <w:top w:val="none" w:sz="0" w:space="0" w:color="auto"/>
            <w:left w:val="none" w:sz="0" w:space="0" w:color="auto"/>
            <w:bottom w:val="none" w:sz="0" w:space="0" w:color="auto"/>
            <w:right w:val="none" w:sz="0" w:space="0" w:color="auto"/>
          </w:divBdr>
        </w:div>
        <w:div w:id="282270005">
          <w:marLeft w:val="0"/>
          <w:marRight w:val="0"/>
          <w:marTop w:val="0"/>
          <w:marBottom w:val="0"/>
          <w:divBdr>
            <w:top w:val="none" w:sz="0" w:space="0" w:color="auto"/>
            <w:left w:val="none" w:sz="0" w:space="0" w:color="auto"/>
            <w:bottom w:val="none" w:sz="0" w:space="0" w:color="auto"/>
            <w:right w:val="none" w:sz="0" w:space="0" w:color="auto"/>
          </w:divBdr>
        </w:div>
      </w:divsChild>
    </w:div>
    <w:div w:id="238953933">
      <w:bodyDiv w:val="1"/>
      <w:marLeft w:val="0"/>
      <w:marRight w:val="0"/>
      <w:marTop w:val="0"/>
      <w:marBottom w:val="0"/>
      <w:divBdr>
        <w:top w:val="none" w:sz="0" w:space="0" w:color="auto"/>
        <w:left w:val="none" w:sz="0" w:space="0" w:color="auto"/>
        <w:bottom w:val="none" w:sz="0" w:space="0" w:color="auto"/>
        <w:right w:val="none" w:sz="0" w:space="0" w:color="auto"/>
      </w:divBdr>
      <w:divsChild>
        <w:div w:id="8486558">
          <w:marLeft w:val="0"/>
          <w:marRight w:val="0"/>
          <w:marTop w:val="0"/>
          <w:marBottom w:val="0"/>
          <w:divBdr>
            <w:top w:val="none" w:sz="0" w:space="0" w:color="auto"/>
            <w:left w:val="none" w:sz="0" w:space="0" w:color="auto"/>
            <w:bottom w:val="none" w:sz="0" w:space="0" w:color="auto"/>
            <w:right w:val="none" w:sz="0" w:space="0" w:color="auto"/>
          </w:divBdr>
          <w:divsChild>
            <w:div w:id="1152142715">
              <w:marLeft w:val="0"/>
              <w:marRight w:val="0"/>
              <w:marTop w:val="0"/>
              <w:marBottom w:val="0"/>
              <w:divBdr>
                <w:top w:val="none" w:sz="0" w:space="0" w:color="auto"/>
                <w:left w:val="none" w:sz="0" w:space="0" w:color="auto"/>
                <w:bottom w:val="none" w:sz="0" w:space="0" w:color="auto"/>
                <w:right w:val="none" w:sz="0" w:space="0" w:color="auto"/>
              </w:divBdr>
              <w:divsChild>
                <w:div w:id="20558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05920">
      <w:bodyDiv w:val="1"/>
      <w:marLeft w:val="0"/>
      <w:marRight w:val="0"/>
      <w:marTop w:val="0"/>
      <w:marBottom w:val="0"/>
      <w:divBdr>
        <w:top w:val="none" w:sz="0" w:space="0" w:color="auto"/>
        <w:left w:val="none" w:sz="0" w:space="0" w:color="auto"/>
        <w:bottom w:val="none" w:sz="0" w:space="0" w:color="auto"/>
        <w:right w:val="none" w:sz="0" w:space="0" w:color="auto"/>
      </w:divBdr>
    </w:div>
    <w:div w:id="290092556">
      <w:bodyDiv w:val="1"/>
      <w:marLeft w:val="0"/>
      <w:marRight w:val="0"/>
      <w:marTop w:val="0"/>
      <w:marBottom w:val="0"/>
      <w:divBdr>
        <w:top w:val="none" w:sz="0" w:space="0" w:color="auto"/>
        <w:left w:val="none" w:sz="0" w:space="0" w:color="auto"/>
        <w:bottom w:val="none" w:sz="0" w:space="0" w:color="auto"/>
        <w:right w:val="none" w:sz="0" w:space="0" w:color="auto"/>
      </w:divBdr>
      <w:divsChild>
        <w:div w:id="2080440469">
          <w:marLeft w:val="0"/>
          <w:marRight w:val="0"/>
          <w:marTop w:val="0"/>
          <w:marBottom w:val="0"/>
          <w:divBdr>
            <w:top w:val="none" w:sz="0" w:space="0" w:color="auto"/>
            <w:left w:val="none" w:sz="0" w:space="0" w:color="auto"/>
            <w:bottom w:val="none" w:sz="0" w:space="0" w:color="auto"/>
            <w:right w:val="none" w:sz="0" w:space="0" w:color="auto"/>
          </w:divBdr>
        </w:div>
        <w:div w:id="1566601517">
          <w:marLeft w:val="0"/>
          <w:marRight w:val="0"/>
          <w:marTop w:val="0"/>
          <w:marBottom w:val="0"/>
          <w:divBdr>
            <w:top w:val="none" w:sz="0" w:space="0" w:color="auto"/>
            <w:left w:val="none" w:sz="0" w:space="0" w:color="auto"/>
            <w:bottom w:val="none" w:sz="0" w:space="0" w:color="auto"/>
            <w:right w:val="none" w:sz="0" w:space="0" w:color="auto"/>
          </w:divBdr>
        </w:div>
        <w:div w:id="84423587">
          <w:marLeft w:val="0"/>
          <w:marRight w:val="0"/>
          <w:marTop w:val="0"/>
          <w:marBottom w:val="0"/>
          <w:divBdr>
            <w:top w:val="none" w:sz="0" w:space="0" w:color="auto"/>
            <w:left w:val="none" w:sz="0" w:space="0" w:color="auto"/>
            <w:bottom w:val="none" w:sz="0" w:space="0" w:color="auto"/>
            <w:right w:val="none" w:sz="0" w:space="0" w:color="auto"/>
          </w:divBdr>
        </w:div>
      </w:divsChild>
    </w:div>
    <w:div w:id="318119797">
      <w:bodyDiv w:val="1"/>
      <w:marLeft w:val="0"/>
      <w:marRight w:val="0"/>
      <w:marTop w:val="0"/>
      <w:marBottom w:val="0"/>
      <w:divBdr>
        <w:top w:val="none" w:sz="0" w:space="0" w:color="auto"/>
        <w:left w:val="none" w:sz="0" w:space="0" w:color="auto"/>
        <w:bottom w:val="none" w:sz="0" w:space="0" w:color="auto"/>
        <w:right w:val="none" w:sz="0" w:space="0" w:color="auto"/>
      </w:divBdr>
    </w:div>
    <w:div w:id="361901948">
      <w:bodyDiv w:val="1"/>
      <w:marLeft w:val="0"/>
      <w:marRight w:val="0"/>
      <w:marTop w:val="0"/>
      <w:marBottom w:val="0"/>
      <w:divBdr>
        <w:top w:val="none" w:sz="0" w:space="0" w:color="auto"/>
        <w:left w:val="none" w:sz="0" w:space="0" w:color="auto"/>
        <w:bottom w:val="none" w:sz="0" w:space="0" w:color="auto"/>
        <w:right w:val="none" w:sz="0" w:space="0" w:color="auto"/>
      </w:divBdr>
    </w:div>
    <w:div w:id="363865471">
      <w:bodyDiv w:val="1"/>
      <w:marLeft w:val="0"/>
      <w:marRight w:val="0"/>
      <w:marTop w:val="0"/>
      <w:marBottom w:val="0"/>
      <w:divBdr>
        <w:top w:val="none" w:sz="0" w:space="0" w:color="auto"/>
        <w:left w:val="none" w:sz="0" w:space="0" w:color="auto"/>
        <w:bottom w:val="none" w:sz="0" w:space="0" w:color="auto"/>
        <w:right w:val="none" w:sz="0" w:space="0" w:color="auto"/>
      </w:divBdr>
    </w:div>
    <w:div w:id="402725004">
      <w:bodyDiv w:val="1"/>
      <w:marLeft w:val="0"/>
      <w:marRight w:val="0"/>
      <w:marTop w:val="0"/>
      <w:marBottom w:val="0"/>
      <w:divBdr>
        <w:top w:val="none" w:sz="0" w:space="0" w:color="auto"/>
        <w:left w:val="none" w:sz="0" w:space="0" w:color="auto"/>
        <w:bottom w:val="none" w:sz="0" w:space="0" w:color="auto"/>
        <w:right w:val="none" w:sz="0" w:space="0" w:color="auto"/>
      </w:divBdr>
    </w:div>
    <w:div w:id="402803056">
      <w:bodyDiv w:val="1"/>
      <w:marLeft w:val="0"/>
      <w:marRight w:val="0"/>
      <w:marTop w:val="0"/>
      <w:marBottom w:val="0"/>
      <w:divBdr>
        <w:top w:val="none" w:sz="0" w:space="0" w:color="auto"/>
        <w:left w:val="none" w:sz="0" w:space="0" w:color="auto"/>
        <w:bottom w:val="none" w:sz="0" w:space="0" w:color="auto"/>
        <w:right w:val="none" w:sz="0" w:space="0" w:color="auto"/>
      </w:divBdr>
    </w:div>
    <w:div w:id="446047268">
      <w:bodyDiv w:val="1"/>
      <w:marLeft w:val="0"/>
      <w:marRight w:val="0"/>
      <w:marTop w:val="0"/>
      <w:marBottom w:val="0"/>
      <w:divBdr>
        <w:top w:val="none" w:sz="0" w:space="0" w:color="auto"/>
        <w:left w:val="none" w:sz="0" w:space="0" w:color="auto"/>
        <w:bottom w:val="none" w:sz="0" w:space="0" w:color="auto"/>
        <w:right w:val="none" w:sz="0" w:space="0" w:color="auto"/>
      </w:divBdr>
    </w:div>
    <w:div w:id="476723544">
      <w:bodyDiv w:val="1"/>
      <w:marLeft w:val="0"/>
      <w:marRight w:val="0"/>
      <w:marTop w:val="0"/>
      <w:marBottom w:val="0"/>
      <w:divBdr>
        <w:top w:val="none" w:sz="0" w:space="0" w:color="auto"/>
        <w:left w:val="none" w:sz="0" w:space="0" w:color="auto"/>
        <w:bottom w:val="none" w:sz="0" w:space="0" w:color="auto"/>
        <w:right w:val="none" w:sz="0" w:space="0" w:color="auto"/>
      </w:divBdr>
    </w:div>
    <w:div w:id="480735010">
      <w:bodyDiv w:val="1"/>
      <w:marLeft w:val="0"/>
      <w:marRight w:val="0"/>
      <w:marTop w:val="0"/>
      <w:marBottom w:val="0"/>
      <w:divBdr>
        <w:top w:val="none" w:sz="0" w:space="0" w:color="auto"/>
        <w:left w:val="none" w:sz="0" w:space="0" w:color="auto"/>
        <w:bottom w:val="none" w:sz="0" w:space="0" w:color="auto"/>
        <w:right w:val="none" w:sz="0" w:space="0" w:color="auto"/>
      </w:divBdr>
    </w:div>
    <w:div w:id="514811813">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51622652">
      <w:bodyDiv w:val="1"/>
      <w:marLeft w:val="0"/>
      <w:marRight w:val="0"/>
      <w:marTop w:val="0"/>
      <w:marBottom w:val="0"/>
      <w:divBdr>
        <w:top w:val="none" w:sz="0" w:space="0" w:color="auto"/>
        <w:left w:val="none" w:sz="0" w:space="0" w:color="auto"/>
        <w:bottom w:val="none" w:sz="0" w:space="0" w:color="auto"/>
        <w:right w:val="none" w:sz="0" w:space="0" w:color="auto"/>
      </w:divBdr>
    </w:div>
    <w:div w:id="561646266">
      <w:bodyDiv w:val="1"/>
      <w:marLeft w:val="0"/>
      <w:marRight w:val="0"/>
      <w:marTop w:val="0"/>
      <w:marBottom w:val="0"/>
      <w:divBdr>
        <w:top w:val="none" w:sz="0" w:space="0" w:color="auto"/>
        <w:left w:val="none" w:sz="0" w:space="0" w:color="auto"/>
        <w:bottom w:val="none" w:sz="0" w:space="0" w:color="auto"/>
        <w:right w:val="none" w:sz="0" w:space="0" w:color="auto"/>
      </w:divBdr>
    </w:div>
    <w:div w:id="582422365">
      <w:bodyDiv w:val="1"/>
      <w:marLeft w:val="0"/>
      <w:marRight w:val="0"/>
      <w:marTop w:val="0"/>
      <w:marBottom w:val="0"/>
      <w:divBdr>
        <w:top w:val="none" w:sz="0" w:space="0" w:color="auto"/>
        <w:left w:val="none" w:sz="0" w:space="0" w:color="auto"/>
        <w:bottom w:val="none" w:sz="0" w:space="0" w:color="auto"/>
        <w:right w:val="none" w:sz="0" w:space="0" w:color="auto"/>
      </w:divBdr>
    </w:div>
    <w:div w:id="669018882">
      <w:bodyDiv w:val="1"/>
      <w:marLeft w:val="0"/>
      <w:marRight w:val="0"/>
      <w:marTop w:val="0"/>
      <w:marBottom w:val="0"/>
      <w:divBdr>
        <w:top w:val="none" w:sz="0" w:space="0" w:color="auto"/>
        <w:left w:val="none" w:sz="0" w:space="0" w:color="auto"/>
        <w:bottom w:val="none" w:sz="0" w:space="0" w:color="auto"/>
        <w:right w:val="none" w:sz="0" w:space="0" w:color="auto"/>
      </w:divBdr>
    </w:div>
    <w:div w:id="701394175">
      <w:bodyDiv w:val="1"/>
      <w:marLeft w:val="0"/>
      <w:marRight w:val="0"/>
      <w:marTop w:val="0"/>
      <w:marBottom w:val="0"/>
      <w:divBdr>
        <w:top w:val="none" w:sz="0" w:space="0" w:color="auto"/>
        <w:left w:val="none" w:sz="0" w:space="0" w:color="auto"/>
        <w:bottom w:val="none" w:sz="0" w:space="0" w:color="auto"/>
        <w:right w:val="none" w:sz="0" w:space="0" w:color="auto"/>
      </w:divBdr>
    </w:div>
    <w:div w:id="728768013">
      <w:bodyDiv w:val="1"/>
      <w:marLeft w:val="0"/>
      <w:marRight w:val="0"/>
      <w:marTop w:val="0"/>
      <w:marBottom w:val="0"/>
      <w:divBdr>
        <w:top w:val="none" w:sz="0" w:space="0" w:color="auto"/>
        <w:left w:val="none" w:sz="0" w:space="0" w:color="auto"/>
        <w:bottom w:val="none" w:sz="0" w:space="0" w:color="auto"/>
        <w:right w:val="none" w:sz="0" w:space="0" w:color="auto"/>
      </w:divBdr>
    </w:div>
    <w:div w:id="743260372">
      <w:bodyDiv w:val="1"/>
      <w:marLeft w:val="0"/>
      <w:marRight w:val="0"/>
      <w:marTop w:val="0"/>
      <w:marBottom w:val="0"/>
      <w:divBdr>
        <w:top w:val="none" w:sz="0" w:space="0" w:color="auto"/>
        <w:left w:val="none" w:sz="0" w:space="0" w:color="auto"/>
        <w:bottom w:val="none" w:sz="0" w:space="0" w:color="auto"/>
        <w:right w:val="none" w:sz="0" w:space="0" w:color="auto"/>
      </w:divBdr>
    </w:div>
    <w:div w:id="747119301">
      <w:bodyDiv w:val="1"/>
      <w:marLeft w:val="0"/>
      <w:marRight w:val="0"/>
      <w:marTop w:val="0"/>
      <w:marBottom w:val="0"/>
      <w:divBdr>
        <w:top w:val="none" w:sz="0" w:space="0" w:color="auto"/>
        <w:left w:val="none" w:sz="0" w:space="0" w:color="auto"/>
        <w:bottom w:val="none" w:sz="0" w:space="0" w:color="auto"/>
        <w:right w:val="none" w:sz="0" w:space="0" w:color="auto"/>
      </w:divBdr>
    </w:div>
    <w:div w:id="750081815">
      <w:bodyDiv w:val="1"/>
      <w:marLeft w:val="0"/>
      <w:marRight w:val="0"/>
      <w:marTop w:val="0"/>
      <w:marBottom w:val="0"/>
      <w:divBdr>
        <w:top w:val="none" w:sz="0" w:space="0" w:color="auto"/>
        <w:left w:val="none" w:sz="0" w:space="0" w:color="auto"/>
        <w:bottom w:val="none" w:sz="0" w:space="0" w:color="auto"/>
        <w:right w:val="none" w:sz="0" w:space="0" w:color="auto"/>
      </w:divBdr>
    </w:div>
    <w:div w:id="754592847">
      <w:bodyDiv w:val="1"/>
      <w:marLeft w:val="0"/>
      <w:marRight w:val="0"/>
      <w:marTop w:val="0"/>
      <w:marBottom w:val="0"/>
      <w:divBdr>
        <w:top w:val="none" w:sz="0" w:space="0" w:color="auto"/>
        <w:left w:val="none" w:sz="0" w:space="0" w:color="auto"/>
        <w:bottom w:val="none" w:sz="0" w:space="0" w:color="auto"/>
        <w:right w:val="none" w:sz="0" w:space="0" w:color="auto"/>
      </w:divBdr>
    </w:div>
    <w:div w:id="775364404">
      <w:bodyDiv w:val="1"/>
      <w:marLeft w:val="0"/>
      <w:marRight w:val="0"/>
      <w:marTop w:val="0"/>
      <w:marBottom w:val="0"/>
      <w:divBdr>
        <w:top w:val="none" w:sz="0" w:space="0" w:color="auto"/>
        <w:left w:val="none" w:sz="0" w:space="0" w:color="auto"/>
        <w:bottom w:val="none" w:sz="0" w:space="0" w:color="auto"/>
        <w:right w:val="none" w:sz="0" w:space="0" w:color="auto"/>
      </w:divBdr>
    </w:div>
    <w:div w:id="897978159">
      <w:bodyDiv w:val="1"/>
      <w:marLeft w:val="0"/>
      <w:marRight w:val="0"/>
      <w:marTop w:val="0"/>
      <w:marBottom w:val="0"/>
      <w:divBdr>
        <w:top w:val="none" w:sz="0" w:space="0" w:color="auto"/>
        <w:left w:val="none" w:sz="0" w:space="0" w:color="auto"/>
        <w:bottom w:val="none" w:sz="0" w:space="0" w:color="auto"/>
        <w:right w:val="none" w:sz="0" w:space="0" w:color="auto"/>
      </w:divBdr>
    </w:div>
    <w:div w:id="936016527">
      <w:bodyDiv w:val="1"/>
      <w:marLeft w:val="0"/>
      <w:marRight w:val="0"/>
      <w:marTop w:val="0"/>
      <w:marBottom w:val="0"/>
      <w:divBdr>
        <w:top w:val="none" w:sz="0" w:space="0" w:color="auto"/>
        <w:left w:val="none" w:sz="0" w:space="0" w:color="auto"/>
        <w:bottom w:val="none" w:sz="0" w:space="0" w:color="auto"/>
        <w:right w:val="none" w:sz="0" w:space="0" w:color="auto"/>
      </w:divBdr>
    </w:div>
    <w:div w:id="947741032">
      <w:bodyDiv w:val="1"/>
      <w:marLeft w:val="0"/>
      <w:marRight w:val="0"/>
      <w:marTop w:val="0"/>
      <w:marBottom w:val="0"/>
      <w:divBdr>
        <w:top w:val="none" w:sz="0" w:space="0" w:color="auto"/>
        <w:left w:val="none" w:sz="0" w:space="0" w:color="auto"/>
        <w:bottom w:val="none" w:sz="0" w:space="0" w:color="auto"/>
        <w:right w:val="none" w:sz="0" w:space="0" w:color="auto"/>
      </w:divBdr>
      <w:divsChild>
        <w:div w:id="1448508082">
          <w:marLeft w:val="0"/>
          <w:marRight w:val="0"/>
          <w:marTop w:val="0"/>
          <w:marBottom w:val="0"/>
          <w:divBdr>
            <w:top w:val="none" w:sz="0" w:space="0" w:color="auto"/>
            <w:left w:val="none" w:sz="0" w:space="0" w:color="auto"/>
            <w:bottom w:val="none" w:sz="0" w:space="0" w:color="auto"/>
            <w:right w:val="none" w:sz="0" w:space="0" w:color="auto"/>
          </w:divBdr>
          <w:divsChild>
            <w:div w:id="356931352">
              <w:marLeft w:val="0"/>
              <w:marRight w:val="0"/>
              <w:marTop w:val="0"/>
              <w:marBottom w:val="0"/>
              <w:divBdr>
                <w:top w:val="none" w:sz="0" w:space="0" w:color="auto"/>
                <w:left w:val="none" w:sz="0" w:space="0" w:color="auto"/>
                <w:bottom w:val="none" w:sz="0" w:space="0" w:color="auto"/>
                <w:right w:val="none" w:sz="0" w:space="0" w:color="auto"/>
              </w:divBdr>
              <w:divsChild>
                <w:div w:id="19354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713">
      <w:bodyDiv w:val="1"/>
      <w:marLeft w:val="0"/>
      <w:marRight w:val="0"/>
      <w:marTop w:val="0"/>
      <w:marBottom w:val="0"/>
      <w:divBdr>
        <w:top w:val="none" w:sz="0" w:space="0" w:color="auto"/>
        <w:left w:val="none" w:sz="0" w:space="0" w:color="auto"/>
        <w:bottom w:val="none" w:sz="0" w:space="0" w:color="auto"/>
        <w:right w:val="none" w:sz="0" w:space="0" w:color="auto"/>
      </w:divBdr>
    </w:div>
    <w:div w:id="994381582">
      <w:bodyDiv w:val="1"/>
      <w:marLeft w:val="0"/>
      <w:marRight w:val="0"/>
      <w:marTop w:val="0"/>
      <w:marBottom w:val="0"/>
      <w:divBdr>
        <w:top w:val="none" w:sz="0" w:space="0" w:color="auto"/>
        <w:left w:val="none" w:sz="0" w:space="0" w:color="auto"/>
        <w:bottom w:val="none" w:sz="0" w:space="0" w:color="auto"/>
        <w:right w:val="none" w:sz="0" w:space="0" w:color="auto"/>
      </w:divBdr>
    </w:div>
    <w:div w:id="1022977953">
      <w:bodyDiv w:val="1"/>
      <w:marLeft w:val="0"/>
      <w:marRight w:val="0"/>
      <w:marTop w:val="0"/>
      <w:marBottom w:val="0"/>
      <w:divBdr>
        <w:top w:val="none" w:sz="0" w:space="0" w:color="auto"/>
        <w:left w:val="none" w:sz="0" w:space="0" w:color="auto"/>
        <w:bottom w:val="none" w:sz="0" w:space="0" w:color="auto"/>
        <w:right w:val="none" w:sz="0" w:space="0" w:color="auto"/>
      </w:divBdr>
    </w:div>
    <w:div w:id="1089812351">
      <w:bodyDiv w:val="1"/>
      <w:marLeft w:val="0"/>
      <w:marRight w:val="0"/>
      <w:marTop w:val="0"/>
      <w:marBottom w:val="0"/>
      <w:divBdr>
        <w:top w:val="none" w:sz="0" w:space="0" w:color="auto"/>
        <w:left w:val="none" w:sz="0" w:space="0" w:color="auto"/>
        <w:bottom w:val="none" w:sz="0" w:space="0" w:color="auto"/>
        <w:right w:val="none" w:sz="0" w:space="0" w:color="auto"/>
      </w:divBdr>
    </w:div>
    <w:div w:id="1097019074">
      <w:bodyDiv w:val="1"/>
      <w:marLeft w:val="0"/>
      <w:marRight w:val="0"/>
      <w:marTop w:val="0"/>
      <w:marBottom w:val="0"/>
      <w:divBdr>
        <w:top w:val="none" w:sz="0" w:space="0" w:color="auto"/>
        <w:left w:val="none" w:sz="0" w:space="0" w:color="auto"/>
        <w:bottom w:val="none" w:sz="0" w:space="0" w:color="auto"/>
        <w:right w:val="none" w:sz="0" w:space="0" w:color="auto"/>
      </w:divBdr>
      <w:divsChild>
        <w:div w:id="187136053">
          <w:marLeft w:val="0"/>
          <w:marRight w:val="0"/>
          <w:marTop w:val="0"/>
          <w:marBottom w:val="0"/>
          <w:divBdr>
            <w:top w:val="none" w:sz="0" w:space="0" w:color="auto"/>
            <w:left w:val="none" w:sz="0" w:space="0" w:color="auto"/>
            <w:bottom w:val="none" w:sz="0" w:space="0" w:color="auto"/>
            <w:right w:val="none" w:sz="0" w:space="0" w:color="auto"/>
          </w:divBdr>
          <w:divsChild>
            <w:div w:id="595401537">
              <w:marLeft w:val="0"/>
              <w:marRight w:val="0"/>
              <w:marTop w:val="0"/>
              <w:marBottom w:val="0"/>
              <w:divBdr>
                <w:top w:val="none" w:sz="0" w:space="0" w:color="auto"/>
                <w:left w:val="none" w:sz="0" w:space="0" w:color="auto"/>
                <w:bottom w:val="none" w:sz="0" w:space="0" w:color="auto"/>
                <w:right w:val="none" w:sz="0" w:space="0" w:color="auto"/>
              </w:divBdr>
              <w:divsChild>
                <w:div w:id="1286154941">
                  <w:marLeft w:val="0"/>
                  <w:marRight w:val="0"/>
                  <w:marTop w:val="0"/>
                  <w:marBottom w:val="0"/>
                  <w:divBdr>
                    <w:top w:val="none" w:sz="0" w:space="0" w:color="auto"/>
                    <w:left w:val="none" w:sz="0" w:space="0" w:color="auto"/>
                    <w:bottom w:val="none" w:sz="0" w:space="0" w:color="auto"/>
                    <w:right w:val="none" w:sz="0" w:space="0" w:color="auto"/>
                  </w:divBdr>
                  <w:divsChild>
                    <w:div w:id="17025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49603">
      <w:bodyDiv w:val="1"/>
      <w:marLeft w:val="0"/>
      <w:marRight w:val="0"/>
      <w:marTop w:val="0"/>
      <w:marBottom w:val="0"/>
      <w:divBdr>
        <w:top w:val="none" w:sz="0" w:space="0" w:color="auto"/>
        <w:left w:val="none" w:sz="0" w:space="0" w:color="auto"/>
        <w:bottom w:val="none" w:sz="0" w:space="0" w:color="auto"/>
        <w:right w:val="none" w:sz="0" w:space="0" w:color="auto"/>
      </w:divBdr>
    </w:div>
    <w:div w:id="1190415943">
      <w:bodyDiv w:val="1"/>
      <w:marLeft w:val="0"/>
      <w:marRight w:val="0"/>
      <w:marTop w:val="0"/>
      <w:marBottom w:val="0"/>
      <w:divBdr>
        <w:top w:val="none" w:sz="0" w:space="0" w:color="auto"/>
        <w:left w:val="none" w:sz="0" w:space="0" w:color="auto"/>
        <w:bottom w:val="none" w:sz="0" w:space="0" w:color="auto"/>
        <w:right w:val="none" w:sz="0" w:space="0" w:color="auto"/>
      </w:divBdr>
    </w:div>
    <w:div w:id="1193109434">
      <w:bodyDiv w:val="1"/>
      <w:marLeft w:val="0"/>
      <w:marRight w:val="0"/>
      <w:marTop w:val="0"/>
      <w:marBottom w:val="0"/>
      <w:divBdr>
        <w:top w:val="none" w:sz="0" w:space="0" w:color="auto"/>
        <w:left w:val="none" w:sz="0" w:space="0" w:color="auto"/>
        <w:bottom w:val="none" w:sz="0" w:space="0" w:color="auto"/>
        <w:right w:val="none" w:sz="0" w:space="0" w:color="auto"/>
      </w:divBdr>
    </w:div>
    <w:div w:id="1221675227">
      <w:bodyDiv w:val="1"/>
      <w:marLeft w:val="0"/>
      <w:marRight w:val="0"/>
      <w:marTop w:val="0"/>
      <w:marBottom w:val="0"/>
      <w:divBdr>
        <w:top w:val="none" w:sz="0" w:space="0" w:color="auto"/>
        <w:left w:val="none" w:sz="0" w:space="0" w:color="auto"/>
        <w:bottom w:val="none" w:sz="0" w:space="0" w:color="auto"/>
        <w:right w:val="none" w:sz="0" w:space="0" w:color="auto"/>
      </w:divBdr>
    </w:div>
    <w:div w:id="1222055733">
      <w:bodyDiv w:val="1"/>
      <w:marLeft w:val="0"/>
      <w:marRight w:val="0"/>
      <w:marTop w:val="0"/>
      <w:marBottom w:val="0"/>
      <w:divBdr>
        <w:top w:val="none" w:sz="0" w:space="0" w:color="auto"/>
        <w:left w:val="none" w:sz="0" w:space="0" w:color="auto"/>
        <w:bottom w:val="none" w:sz="0" w:space="0" w:color="auto"/>
        <w:right w:val="none" w:sz="0" w:space="0" w:color="auto"/>
      </w:divBdr>
    </w:div>
    <w:div w:id="1328946805">
      <w:bodyDiv w:val="1"/>
      <w:marLeft w:val="0"/>
      <w:marRight w:val="0"/>
      <w:marTop w:val="0"/>
      <w:marBottom w:val="0"/>
      <w:divBdr>
        <w:top w:val="none" w:sz="0" w:space="0" w:color="auto"/>
        <w:left w:val="none" w:sz="0" w:space="0" w:color="auto"/>
        <w:bottom w:val="none" w:sz="0" w:space="0" w:color="auto"/>
        <w:right w:val="none" w:sz="0" w:space="0" w:color="auto"/>
      </w:divBdr>
    </w:div>
    <w:div w:id="1348555868">
      <w:bodyDiv w:val="1"/>
      <w:marLeft w:val="0"/>
      <w:marRight w:val="0"/>
      <w:marTop w:val="0"/>
      <w:marBottom w:val="0"/>
      <w:divBdr>
        <w:top w:val="none" w:sz="0" w:space="0" w:color="auto"/>
        <w:left w:val="none" w:sz="0" w:space="0" w:color="auto"/>
        <w:bottom w:val="none" w:sz="0" w:space="0" w:color="auto"/>
        <w:right w:val="none" w:sz="0" w:space="0" w:color="auto"/>
      </w:divBdr>
      <w:divsChild>
        <w:div w:id="575551050">
          <w:marLeft w:val="0"/>
          <w:marRight w:val="0"/>
          <w:marTop w:val="0"/>
          <w:marBottom w:val="0"/>
          <w:divBdr>
            <w:top w:val="none" w:sz="0" w:space="0" w:color="auto"/>
            <w:left w:val="none" w:sz="0" w:space="0" w:color="auto"/>
            <w:bottom w:val="none" w:sz="0" w:space="0" w:color="auto"/>
            <w:right w:val="none" w:sz="0" w:space="0" w:color="auto"/>
          </w:divBdr>
        </w:div>
      </w:divsChild>
    </w:div>
    <w:div w:id="1350525488">
      <w:bodyDiv w:val="1"/>
      <w:marLeft w:val="0"/>
      <w:marRight w:val="0"/>
      <w:marTop w:val="0"/>
      <w:marBottom w:val="0"/>
      <w:divBdr>
        <w:top w:val="none" w:sz="0" w:space="0" w:color="auto"/>
        <w:left w:val="none" w:sz="0" w:space="0" w:color="auto"/>
        <w:bottom w:val="none" w:sz="0" w:space="0" w:color="auto"/>
        <w:right w:val="none" w:sz="0" w:space="0" w:color="auto"/>
      </w:divBdr>
      <w:divsChild>
        <w:div w:id="1162895269">
          <w:marLeft w:val="0"/>
          <w:marRight w:val="0"/>
          <w:marTop w:val="0"/>
          <w:marBottom w:val="0"/>
          <w:divBdr>
            <w:top w:val="none" w:sz="0" w:space="0" w:color="auto"/>
            <w:left w:val="none" w:sz="0" w:space="0" w:color="auto"/>
            <w:bottom w:val="none" w:sz="0" w:space="0" w:color="auto"/>
            <w:right w:val="none" w:sz="0" w:space="0" w:color="auto"/>
          </w:divBdr>
        </w:div>
      </w:divsChild>
    </w:div>
    <w:div w:id="1453551418">
      <w:bodyDiv w:val="1"/>
      <w:marLeft w:val="0"/>
      <w:marRight w:val="0"/>
      <w:marTop w:val="0"/>
      <w:marBottom w:val="0"/>
      <w:divBdr>
        <w:top w:val="none" w:sz="0" w:space="0" w:color="auto"/>
        <w:left w:val="none" w:sz="0" w:space="0" w:color="auto"/>
        <w:bottom w:val="none" w:sz="0" w:space="0" w:color="auto"/>
        <w:right w:val="none" w:sz="0" w:space="0" w:color="auto"/>
      </w:divBdr>
    </w:div>
    <w:div w:id="1545674516">
      <w:bodyDiv w:val="1"/>
      <w:marLeft w:val="0"/>
      <w:marRight w:val="0"/>
      <w:marTop w:val="0"/>
      <w:marBottom w:val="0"/>
      <w:divBdr>
        <w:top w:val="none" w:sz="0" w:space="0" w:color="auto"/>
        <w:left w:val="none" w:sz="0" w:space="0" w:color="auto"/>
        <w:bottom w:val="none" w:sz="0" w:space="0" w:color="auto"/>
        <w:right w:val="none" w:sz="0" w:space="0" w:color="auto"/>
      </w:divBdr>
    </w:div>
    <w:div w:id="1548253954">
      <w:bodyDiv w:val="1"/>
      <w:marLeft w:val="0"/>
      <w:marRight w:val="0"/>
      <w:marTop w:val="0"/>
      <w:marBottom w:val="0"/>
      <w:divBdr>
        <w:top w:val="none" w:sz="0" w:space="0" w:color="auto"/>
        <w:left w:val="none" w:sz="0" w:space="0" w:color="auto"/>
        <w:bottom w:val="none" w:sz="0" w:space="0" w:color="auto"/>
        <w:right w:val="none" w:sz="0" w:space="0" w:color="auto"/>
      </w:divBdr>
    </w:div>
    <w:div w:id="1560282682">
      <w:bodyDiv w:val="1"/>
      <w:marLeft w:val="0"/>
      <w:marRight w:val="0"/>
      <w:marTop w:val="0"/>
      <w:marBottom w:val="0"/>
      <w:divBdr>
        <w:top w:val="none" w:sz="0" w:space="0" w:color="auto"/>
        <w:left w:val="none" w:sz="0" w:space="0" w:color="auto"/>
        <w:bottom w:val="none" w:sz="0" w:space="0" w:color="auto"/>
        <w:right w:val="none" w:sz="0" w:space="0" w:color="auto"/>
      </w:divBdr>
      <w:divsChild>
        <w:div w:id="1776362200">
          <w:marLeft w:val="0"/>
          <w:marRight w:val="0"/>
          <w:marTop w:val="0"/>
          <w:marBottom w:val="0"/>
          <w:divBdr>
            <w:top w:val="none" w:sz="0" w:space="0" w:color="auto"/>
            <w:left w:val="none" w:sz="0" w:space="0" w:color="auto"/>
            <w:bottom w:val="none" w:sz="0" w:space="0" w:color="auto"/>
            <w:right w:val="none" w:sz="0" w:space="0" w:color="auto"/>
          </w:divBdr>
          <w:divsChild>
            <w:div w:id="1959288074">
              <w:marLeft w:val="0"/>
              <w:marRight w:val="0"/>
              <w:marTop w:val="0"/>
              <w:marBottom w:val="0"/>
              <w:divBdr>
                <w:top w:val="none" w:sz="0" w:space="0" w:color="auto"/>
                <w:left w:val="none" w:sz="0" w:space="0" w:color="auto"/>
                <w:bottom w:val="none" w:sz="0" w:space="0" w:color="auto"/>
                <w:right w:val="none" w:sz="0" w:space="0" w:color="auto"/>
              </w:divBdr>
              <w:divsChild>
                <w:div w:id="1836728491">
                  <w:marLeft w:val="0"/>
                  <w:marRight w:val="0"/>
                  <w:marTop w:val="0"/>
                  <w:marBottom w:val="0"/>
                  <w:divBdr>
                    <w:top w:val="none" w:sz="0" w:space="0" w:color="auto"/>
                    <w:left w:val="none" w:sz="0" w:space="0" w:color="auto"/>
                    <w:bottom w:val="none" w:sz="0" w:space="0" w:color="auto"/>
                    <w:right w:val="none" w:sz="0" w:space="0" w:color="auto"/>
                  </w:divBdr>
                  <w:divsChild>
                    <w:div w:id="1095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4466">
      <w:bodyDiv w:val="1"/>
      <w:marLeft w:val="0"/>
      <w:marRight w:val="0"/>
      <w:marTop w:val="0"/>
      <w:marBottom w:val="0"/>
      <w:divBdr>
        <w:top w:val="none" w:sz="0" w:space="0" w:color="auto"/>
        <w:left w:val="none" w:sz="0" w:space="0" w:color="auto"/>
        <w:bottom w:val="none" w:sz="0" w:space="0" w:color="auto"/>
        <w:right w:val="none" w:sz="0" w:space="0" w:color="auto"/>
      </w:divBdr>
      <w:divsChild>
        <w:div w:id="1292664413">
          <w:marLeft w:val="0"/>
          <w:marRight w:val="0"/>
          <w:marTop w:val="0"/>
          <w:marBottom w:val="0"/>
          <w:divBdr>
            <w:top w:val="none" w:sz="0" w:space="0" w:color="auto"/>
            <w:left w:val="none" w:sz="0" w:space="0" w:color="auto"/>
            <w:bottom w:val="none" w:sz="0" w:space="0" w:color="auto"/>
            <w:right w:val="none" w:sz="0" w:space="0" w:color="auto"/>
          </w:divBdr>
          <w:divsChild>
            <w:div w:id="559172502">
              <w:marLeft w:val="0"/>
              <w:marRight w:val="0"/>
              <w:marTop w:val="0"/>
              <w:marBottom w:val="0"/>
              <w:divBdr>
                <w:top w:val="none" w:sz="0" w:space="0" w:color="auto"/>
                <w:left w:val="none" w:sz="0" w:space="0" w:color="auto"/>
                <w:bottom w:val="none" w:sz="0" w:space="0" w:color="auto"/>
                <w:right w:val="none" w:sz="0" w:space="0" w:color="auto"/>
              </w:divBdr>
              <w:divsChild>
                <w:div w:id="535045821">
                  <w:marLeft w:val="0"/>
                  <w:marRight w:val="0"/>
                  <w:marTop w:val="0"/>
                  <w:marBottom w:val="0"/>
                  <w:divBdr>
                    <w:top w:val="none" w:sz="0" w:space="0" w:color="auto"/>
                    <w:left w:val="none" w:sz="0" w:space="0" w:color="auto"/>
                    <w:bottom w:val="none" w:sz="0" w:space="0" w:color="auto"/>
                    <w:right w:val="none" w:sz="0" w:space="0" w:color="auto"/>
                  </w:divBdr>
                  <w:divsChild>
                    <w:div w:id="1348141654">
                      <w:marLeft w:val="0"/>
                      <w:marRight w:val="0"/>
                      <w:marTop w:val="0"/>
                      <w:marBottom w:val="0"/>
                      <w:divBdr>
                        <w:top w:val="none" w:sz="0" w:space="0" w:color="auto"/>
                        <w:left w:val="none" w:sz="0" w:space="0" w:color="auto"/>
                        <w:bottom w:val="none" w:sz="0" w:space="0" w:color="auto"/>
                        <w:right w:val="none" w:sz="0" w:space="0" w:color="auto"/>
                      </w:divBdr>
                      <w:divsChild>
                        <w:div w:id="1744064937">
                          <w:marLeft w:val="0"/>
                          <w:marRight w:val="0"/>
                          <w:marTop w:val="0"/>
                          <w:marBottom w:val="0"/>
                          <w:divBdr>
                            <w:top w:val="none" w:sz="0" w:space="0" w:color="auto"/>
                            <w:left w:val="none" w:sz="0" w:space="0" w:color="auto"/>
                            <w:bottom w:val="none" w:sz="0" w:space="0" w:color="auto"/>
                            <w:right w:val="none" w:sz="0" w:space="0" w:color="auto"/>
                          </w:divBdr>
                          <w:divsChild>
                            <w:div w:id="6386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7236">
      <w:bodyDiv w:val="1"/>
      <w:marLeft w:val="0"/>
      <w:marRight w:val="0"/>
      <w:marTop w:val="0"/>
      <w:marBottom w:val="0"/>
      <w:divBdr>
        <w:top w:val="none" w:sz="0" w:space="0" w:color="auto"/>
        <w:left w:val="none" w:sz="0" w:space="0" w:color="auto"/>
        <w:bottom w:val="none" w:sz="0" w:space="0" w:color="auto"/>
        <w:right w:val="none" w:sz="0" w:space="0" w:color="auto"/>
      </w:divBdr>
    </w:div>
    <w:div w:id="1634091456">
      <w:bodyDiv w:val="1"/>
      <w:marLeft w:val="0"/>
      <w:marRight w:val="0"/>
      <w:marTop w:val="0"/>
      <w:marBottom w:val="0"/>
      <w:divBdr>
        <w:top w:val="none" w:sz="0" w:space="0" w:color="auto"/>
        <w:left w:val="none" w:sz="0" w:space="0" w:color="auto"/>
        <w:bottom w:val="none" w:sz="0" w:space="0" w:color="auto"/>
        <w:right w:val="none" w:sz="0" w:space="0" w:color="auto"/>
      </w:divBdr>
    </w:div>
    <w:div w:id="1643999946">
      <w:bodyDiv w:val="1"/>
      <w:marLeft w:val="0"/>
      <w:marRight w:val="0"/>
      <w:marTop w:val="0"/>
      <w:marBottom w:val="0"/>
      <w:divBdr>
        <w:top w:val="none" w:sz="0" w:space="0" w:color="auto"/>
        <w:left w:val="none" w:sz="0" w:space="0" w:color="auto"/>
        <w:bottom w:val="none" w:sz="0" w:space="0" w:color="auto"/>
        <w:right w:val="none" w:sz="0" w:space="0" w:color="auto"/>
      </w:divBdr>
      <w:divsChild>
        <w:div w:id="1892765761">
          <w:marLeft w:val="0"/>
          <w:marRight w:val="0"/>
          <w:marTop w:val="0"/>
          <w:marBottom w:val="300"/>
          <w:divBdr>
            <w:top w:val="none" w:sz="0" w:space="0" w:color="auto"/>
            <w:left w:val="none" w:sz="0" w:space="0" w:color="auto"/>
            <w:bottom w:val="none" w:sz="0" w:space="0" w:color="auto"/>
            <w:right w:val="none" w:sz="0" w:space="0" w:color="auto"/>
          </w:divBdr>
          <w:divsChild>
            <w:div w:id="702053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52562810">
      <w:bodyDiv w:val="1"/>
      <w:marLeft w:val="0"/>
      <w:marRight w:val="0"/>
      <w:marTop w:val="0"/>
      <w:marBottom w:val="0"/>
      <w:divBdr>
        <w:top w:val="none" w:sz="0" w:space="0" w:color="auto"/>
        <w:left w:val="none" w:sz="0" w:space="0" w:color="auto"/>
        <w:bottom w:val="none" w:sz="0" w:space="0" w:color="auto"/>
        <w:right w:val="none" w:sz="0" w:space="0" w:color="auto"/>
      </w:divBdr>
    </w:div>
    <w:div w:id="1657804077">
      <w:bodyDiv w:val="1"/>
      <w:marLeft w:val="0"/>
      <w:marRight w:val="0"/>
      <w:marTop w:val="0"/>
      <w:marBottom w:val="0"/>
      <w:divBdr>
        <w:top w:val="none" w:sz="0" w:space="0" w:color="auto"/>
        <w:left w:val="none" w:sz="0" w:space="0" w:color="auto"/>
        <w:bottom w:val="none" w:sz="0" w:space="0" w:color="auto"/>
        <w:right w:val="none" w:sz="0" w:space="0" w:color="auto"/>
      </w:divBdr>
    </w:div>
    <w:div w:id="1670013866">
      <w:bodyDiv w:val="1"/>
      <w:marLeft w:val="0"/>
      <w:marRight w:val="0"/>
      <w:marTop w:val="0"/>
      <w:marBottom w:val="0"/>
      <w:divBdr>
        <w:top w:val="none" w:sz="0" w:space="0" w:color="auto"/>
        <w:left w:val="none" w:sz="0" w:space="0" w:color="auto"/>
        <w:bottom w:val="none" w:sz="0" w:space="0" w:color="auto"/>
        <w:right w:val="none" w:sz="0" w:space="0" w:color="auto"/>
      </w:divBdr>
    </w:div>
    <w:div w:id="1692950964">
      <w:bodyDiv w:val="1"/>
      <w:marLeft w:val="0"/>
      <w:marRight w:val="0"/>
      <w:marTop w:val="0"/>
      <w:marBottom w:val="0"/>
      <w:divBdr>
        <w:top w:val="none" w:sz="0" w:space="0" w:color="auto"/>
        <w:left w:val="none" w:sz="0" w:space="0" w:color="auto"/>
        <w:bottom w:val="none" w:sz="0" w:space="0" w:color="auto"/>
        <w:right w:val="none" w:sz="0" w:space="0" w:color="auto"/>
      </w:divBdr>
    </w:div>
    <w:div w:id="1708025679">
      <w:bodyDiv w:val="1"/>
      <w:marLeft w:val="0"/>
      <w:marRight w:val="0"/>
      <w:marTop w:val="0"/>
      <w:marBottom w:val="0"/>
      <w:divBdr>
        <w:top w:val="none" w:sz="0" w:space="0" w:color="auto"/>
        <w:left w:val="none" w:sz="0" w:space="0" w:color="auto"/>
        <w:bottom w:val="none" w:sz="0" w:space="0" w:color="auto"/>
        <w:right w:val="none" w:sz="0" w:space="0" w:color="auto"/>
      </w:divBdr>
      <w:divsChild>
        <w:div w:id="960769877">
          <w:marLeft w:val="0"/>
          <w:marRight w:val="0"/>
          <w:marTop w:val="0"/>
          <w:marBottom w:val="0"/>
          <w:divBdr>
            <w:top w:val="none" w:sz="0" w:space="0" w:color="auto"/>
            <w:left w:val="none" w:sz="0" w:space="0" w:color="auto"/>
            <w:bottom w:val="none" w:sz="0" w:space="0" w:color="auto"/>
            <w:right w:val="none" w:sz="0" w:space="0" w:color="auto"/>
          </w:divBdr>
        </w:div>
      </w:divsChild>
    </w:div>
    <w:div w:id="1736196227">
      <w:bodyDiv w:val="1"/>
      <w:marLeft w:val="0"/>
      <w:marRight w:val="0"/>
      <w:marTop w:val="0"/>
      <w:marBottom w:val="0"/>
      <w:divBdr>
        <w:top w:val="none" w:sz="0" w:space="0" w:color="auto"/>
        <w:left w:val="none" w:sz="0" w:space="0" w:color="auto"/>
        <w:bottom w:val="none" w:sz="0" w:space="0" w:color="auto"/>
        <w:right w:val="none" w:sz="0" w:space="0" w:color="auto"/>
      </w:divBdr>
    </w:div>
    <w:div w:id="1770655286">
      <w:bodyDiv w:val="1"/>
      <w:marLeft w:val="0"/>
      <w:marRight w:val="0"/>
      <w:marTop w:val="0"/>
      <w:marBottom w:val="0"/>
      <w:divBdr>
        <w:top w:val="none" w:sz="0" w:space="0" w:color="auto"/>
        <w:left w:val="none" w:sz="0" w:space="0" w:color="auto"/>
        <w:bottom w:val="none" w:sz="0" w:space="0" w:color="auto"/>
        <w:right w:val="none" w:sz="0" w:space="0" w:color="auto"/>
      </w:divBdr>
    </w:div>
    <w:div w:id="1791321062">
      <w:bodyDiv w:val="1"/>
      <w:marLeft w:val="0"/>
      <w:marRight w:val="0"/>
      <w:marTop w:val="0"/>
      <w:marBottom w:val="0"/>
      <w:divBdr>
        <w:top w:val="none" w:sz="0" w:space="0" w:color="auto"/>
        <w:left w:val="none" w:sz="0" w:space="0" w:color="auto"/>
        <w:bottom w:val="none" w:sz="0" w:space="0" w:color="auto"/>
        <w:right w:val="none" w:sz="0" w:space="0" w:color="auto"/>
      </w:divBdr>
    </w:div>
    <w:div w:id="1829393669">
      <w:bodyDiv w:val="1"/>
      <w:marLeft w:val="0"/>
      <w:marRight w:val="0"/>
      <w:marTop w:val="0"/>
      <w:marBottom w:val="0"/>
      <w:divBdr>
        <w:top w:val="none" w:sz="0" w:space="0" w:color="auto"/>
        <w:left w:val="none" w:sz="0" w:space="0" w:color="auto"/>
        <w:bottom w:val="none" w:sz="0" w:space="0" w:color="auto"/>
        <w:right w:val="none" w:sz="0" w:space="0" w:color="auto"/>
      </w:divBdr>
    </w:div>
    <w:div w:id="1830442479">
      <w:bodyDiv w:val="1"/>
      <w:marLeft w:val="0"/>
      <w:marRight w:val="0"/>
      <w:marTop w:val="0"/>
      <w:marBottom w:val="0"/>
      <w:divBdr>
        <w:top w:val="none" w:sz="0" w:space="0" w:color="auto"/>
        <w:left w:val="none" w:sz="0" w:space="0" w:color="auto"/>
        <w:bottom w:val="none" w:sz="0" w:space="0" w:color="auto"/>
        <w:right w:val="none" w:sz="0" w:space="0" w:color="auto"/>
      </w:divBdr>
    </w:div>
    <w:div w:id="1890990738">
      <w:bodyDiv w:val="1"/>
      <w:marLeft w:val="0"/>
      <w:marRight w:val="0"/>
      <w:marTop w:val="0"/>
      <w:marBottom w:val="0"/>
      <w:divBdr>
        <w:top w:val="none" w:sz="0" w:space="0" w:color="auto"/>
        <w:left w:val="none" w:sz="0" w:space="0" w:color="auto"/>
        <w:bottom w:val="none" w:sz="0" w:space="0" w:color="auto"/>
        <w:right w:val="none" w:sz="0" w:space="0" w:color="auto"/>
      </w:divBdr>
    </w:div>
    <w:div w:id="1929461548">
      <w:bodyDiv w:val="1"/>
      <w:marLeft w:val="0"/>
      <w:marRight w:val="0"/>
      <w:marTop w:val="0"/>
      <w:marBottom w:val="0"/>
      <w:divBdr>
        <w:top w:val="none" w:sz="0" w:space="0" w:color="auto"/>
        <w:left w:val="none" w:sz="0" w:space="0" w:color="auto"/>
        <w:bottom w:val="none" w:sz="0" w:space="0" w:color="auto"/>
        <w:right w:val="none" w:sz="0" w:space="0" w:color="auto"/>
      </w:divBdr>
    </w:div>
    <w:div w:id="1936209847">
      <w:bodyDiv w:val="1"/>
      <w:marLeft w:val="0"/>
      <w:marRight w:val="0"/>
      <w:marTop w:val="0"/>
      <w:marBottom w:val="0"/>
      <w:divBdr>
        <w:top w:val="none" w:sz="0" w:space="0" w:color="auto"/>
        <w:left w:val="none" w:sz="0" w:space="0" w:color="auto"/>
        <w:bottom w:val="none" w:sz="0" w:space="0" w:color="auto"/>
        <w:right w:val="none" w:sz="0" w:space="0" w:color="auto"/>
      </w:divBdr>
    </w:div>
    <w:div w:id="1938901998">
      <w:bodyDiv w:val="1"/>
      <w:marLeft w:val="0"/>
      <w:marRight w:val="0"/>
      <w:marTop w:val="0"/>
      <w:marBottom w:val="0"/>
      <w:divBdr>
        <w:top w:val="none" w:sz="0" w:space="0" w:color="auto"/>
        <w:left w:val="none" w:sz="0" w:space="0" w:color="auto"/>
        <w:bottom w:val="none" w:sz="0" w:space="0" w:color="auto"/>
        <w:right w:val="none" w:sz="0" w:space="0" w:color="auto"/>
      </w:divBdr>
    </w:div>
    <w:div w:id="1943567843">
      <w:bodyDiv w:val="1"/>
      <w:marLeft w:val="0"/>
      <w:marRight w:val="0"/>
      <w:marTop w:val="0"/>
      <w:marBottom w:val="0"/>
      <w:divBdr>
        <w:top w:val="none" w:sz="0" w:space="0" w:color="auto"/>
        <w:left w:val="none" w:sz="0" w:space="0" w:color="auto"/>
        <w:bottom w:val="none" w:sz="0" w:space="0" w:color="auto"/>
        <w:right w:val="none" w:sz="0" w:space="0" w:color="auto"/>
      </w:divBdr>
    </w:div>
    <w:div w:id="1948466537">
      <w:bodyDiv w:val="1"/>
      <w:marLeft w:val="0"/>
      <w:marRight w:val="0"/>
      <w:marTop w:val="0"/>
      <w:marBottom w:val="0"/>
      <w:divBdr>
        <w:top w:val="none" w:sz="0" w:space="0" w:color="auto"/>
        <w:left w:val="none" w:sz="0" w:space="0" w:color="auto"/>
        <w:bottom w:val="none" w:sz="0" w:space="0" w:color="auto"/>
        <w:right w:val="none" w:sz="0" w:space="0" w:color="auto"/>
      </w:divBdr>
      <w:divsChild>
        <w:div w:id="612790897">
          <w:marLeft w:val="0"/>
          <w:marRight w:val="0"/>
          <w:marTop w:val="0"/>
          <w:marBottom w:val="0"/>
          <w:divBdr>
            <w:top w:val="none" w:sz="0" w:space="0" w:color="auto"/>
            <w:left w:val="none" w:sz="0" w:space="0" w:color="auto"/>
            <w:bottom w:val="none" w:sz="0" w:space="0" w:color="auto"/>
            <w:right w:val="none" w:sz="0" w:space="0" w:color="auto"/>
          </w:divBdr>
        </w:div>
      </w:divsChild>
    </w:div>
    <w:div w:id="1950701662">
      <w:bodyDiv w:val="1"/>
      <w:marLeft w:val="0"/>
      <w:marRight w:val="0"/>
      <w:marTop w:val="0"/>
      <w:marBottom w:val="0"/>
      <w:divBdr>
        <w:top w:val="none" w:sz="0" w:space="0" w:color="auto"/>
        <w:left w:val="none" w:sz="0" w:space="0" w:color="auto"/>
        <w:bottom w:val="none" w:sz="0" w:space="0" w:color="auto"/>
        <w:right w:val="none" w:sz="0" w:space="0" w:color="auto"/>
      </w:divBdr>
      <w:divsChild>
        <w:div w:id="282619105">
          <w:marLeft w:val="806"/>
          <w:marRight w:val="0"/>
          <w:marTop w:val="154"/>
          <w:marBottom w:val="0"/>
          <w:divBdr>
            <w:top w:val="none" w:sz="0" w:space="0" w:color="auto"/>
            <w:left w:val="none" w:sz="0" w:space="0" w:color="auto"/>
            <w:bottom w:val="none" w:sz="0" w:space="0" w:color="auto"/>
            <w:right w:val="none" w:sz="0" w:space="0" w:color="auto"/>
          </w:divBdr>
        </w:div>
        <w:div w:id="1409881650">
          <w:marLeft w:val="806"/>
          <w:marRight w:val="0"/>
          <w:marTop w:val="154"/>
          <w:marBottom w:val="0"/>
          <w:divBdr>
            <w:top w:val="none" w:sz="0" w:space="0" w:color="auto"/>
            <w:left w:val="none" w:sz="0" w:space="0" w:color="auto"/>
            <w:bottom w:val="none" w:sz="0" w:space="0" w:color="auto"/>
            <w:right w:val="none" w:sz="0" w:space="0" w:color="auto"/>
          </w:divBdr>
        </w:div>
        <w:div w:id="1329745838">
          <w:marLeft w:val="806"/>
          <w:marRight w:val="0"/>
          <w:marTop w:val="154"/>
          <w:marBottom w:val="0"/>
          <w:divBdr>
            <w:top w:val="none" w:sz="0" w:space="0" w:color="auto"/>
            <w:left w:val="none" w:sz="0" w:space="0" w:color="auto"/>
            <w:bottom w:val="none" w:sz="0" w:space="0" w:color="auto"/>
            <w:right w:val="none" w:sz="0" w:space="0" w:color="auto"/>
          </w:divBdr>
        </w:div>
      </w:divsChild>
    </w:div>
    <w:div w:id="2119252703">
      <w:bodyDiv w:val="1"/>
      <w:marLeft w:val="0"/>
      <w:marRight w:val="0"/>
      <w:marTop w:val="0"/>
      <w:marBottom w:val="0"/>
      <w:divBdr>
        <w:top w:val="none" w:sz="0" w:space="0" w:color="auto"/>
        <w:left w:val="none" w:sz="0" w:space="0" w:color="auto"/>
        <w:bottom w:val="none" w:sz="0" w:space="0" w:color="auto"/>
        <w:right w:val="none" w:sz="0" w:space="0" w:color="auto"/>
      </w:divBdr>
    </w:div>
    <w:div w:id="2144498314">
      <w:bodyDiv w:val="1"/>
      <w:marLeft w:val="0"/>
      <w:marRight w:val="0"/>
      <w:marTop w:val="0"/>
      <w:marBottom w:val="0"/>
      <w:divBdr>
        <w:top w:val="none" w:sz="0" w:space="0" w:color="auto"/>
        <w:left w:val="none" w:sz="0" w:space="0" w:color="auto"/>
        <w:bottom w:val="none" w:sz="0" w:space="0" w:color="auto"/>
        <w:right w:val="none" w:sz="0" w:space="0" w:color="auto"/>
      </w:divBdr>
      <w:divsChild>
        <w:div w:id="207034299">
          <w:marLeft w:val="0"/>
          <w:marRight w:val="0"/>
          <w:marTop w:val="0"/>
          <w:marBottom w:val="0"/>
          <w:divBdr>
            <w:top w:val="none" w:sz="0" w:space="0" w:color="auto"/>
            <w:left w:val="none" w:sz="0" w:space="0" w:color="auto"/>
            <w:bottom w:val="none" w:sz="0" w:space="0" w:color="auto"/>
            <w:right w:val="none" w:sz="0" w:space="0" w:color="auto"/>
          </w:divBdr>
        </w:div>
        <w:div w:id="189643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alaw.com/sites/default/files/case-documents/italaw31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stlii.edu.au/cgi-bin/LawCite?cit=%5b2006%5d%20HKCA%203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remecourt.gov.sg/docs/default-source/module-document/judgement/ca-9-10-bba-v-baz---final-judgment-v7-9-290520-(locked)-pdf.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vance.lexis.com/api/document/collection/cases-nz/id/5BBH-R6T1-JFSV-G25Y-00000-00?cite=Trustees%20of%20Rotoaira%20Forest%20Trust%20v%20Attorney%20-%20General%20%5B1999%5D%202%20NZLR%20452&amp;context=1230042&amp;icsfeatureid=1517128&amp;federationidp=TZRTHJ5465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arbitrationblog.kluwerarbitration.com/2022/12/21/australias-disengagement-with-investor-state-arbitration-a-sequel/" TargetMode="External"/><Relationship Id="rId18" Type="http://schemas.openxmlformats.org/officeDocument/2006/relationships/hyperlink" Target="https://iccwbo.org/new-report-and-guide-to-drive-thought-leadership-in-dispute-prevention-and-resolution/" TargetMode="External"/><Relationship Id="rId26" Type="http://schemas.openxmlformats.org/officeDocument/2006/relationships/hyperlink" Target="https://disputescentre.com.au/adr-address-supreme-court-of-nsw-2019/" TargetMode="External"/><Relationship Id="rId39" Type="http://schemas.openxmlformats.org/officeDocument/2006/relationships/hyperlink" Target="https://iccwbo.org/news-publications/arbitration-adr-rules-and-tools/new-report-and-guide-to-drive-thought-leadership-in-dispute-prevention-and-resolution/" TargetMode="External"/><Relationship Id="rId3" Type="http://schemas.openxmlformats.org/officeDocument/2006/relationships/hyperlink" Target="https://arbitrationblog.kluwerarbitration.com/2021/10/24/the-turn-to-fact-or-fiction-ad-hoc-arbitration-in-the-draft-amendment-to-prc-arbitration-law/" TargetMode="External"/><Relationship Id="rId21" Type="http://schemas.openxmlformats.org/officeDocument/2006/relationships/hyperlink" Target="https://bridges.monash.edu/articles/thesis/Confidentiality_in_International_Commercial_Arbitration_Is_it_an_Accepted_Principle_and_if_so_Should_the_Model_Law_Regulate_it_/23294540" TargetMode="External"/><Relationship Id="rId34" Type="http://schemas.openxmlformats.org/officeDocument/2006/relationships/hyperlink" Target="https://cicc.court.gov.cn/html/1/219/208/209/2370.html" TargetMode="External"/><Relationship Id="rId42" Type="http://schemas.openxmlformats.org/officeDocument/2006/relationships/hyperlink" Target="https://arbitration.qmul.ac.uk/research/2021-international-arbitration-survey/" TargetMode="External"/><Relationship Id="rId47" Type="http://schemas.openxmlformats.org/officeDocument/2006/relationships/hyperlink" Target="https://arbitrationblog.kluwerarbitration.com/2020/08/07/jurisdiction-or-admissibility-the-status-of-time-bars-under-singapore-arbitration-law/" TargetMode="External"/><Relationship Id="rId50" Type="http://schemas.openxmlformats.org/officeDocument/2006/relationships/hyperlink" Target="https://uncitral.un.org/sites/uncitral.un.org/files/media-documents/uncitral/en/mal-digest-2012-e.pdf" TargetMode="External"/><Relationship Id="rId7" Type="http://schemas.openxmlformats.org/officeDocument/2006/relationships/hyperlink" Target="https://arbitrationblog.kluwerarbitration.com/2019/08/25/the-2019-amendment-to-the-indian-arbitration-act-a-classic-case-of-one-step-forward-two-steps-backward/" TargetMode="External"/><Relationship Id="rId12" Type="http://schemas.openxmlformats.org/officeDocument/2006/relationships/hyperlink" Target="https://globalarbitrationreview.com/review/the-asia-pacific-arbitration-review/2023/article/vietnam" TargetMode="External"/><Relationship Id="rId17" Type="http://schemas.openxmlformats.org/officeDocument/2006/relationships/hyperlink" Target="https://www.herbertsmithfreehills.com/insight/inside-arbitration-beyond-the-hourly-rate-%E2%80%93-what-are-the-options" TargetMode="External"/><Relationship Id="rId25" Type="http://schemas.openxmlformats.org/officeDocument/2006/relationships/hyperlink" Target="https://www.ibanet.org/resources" TargetMode="External"/><Relationship Id="rId33" Type="http://schemas.openxmlformats.org/officeDocument/2006/relationships/hyperlink" Target="http://www.arbitration.qmul.ac.uk/research/2019/" TargetMode="External"/><Relationship Id="rId38" Type="http://schemas.openxmlformats.org/officeDocument/2006/relationships/hyperlink" Target="https://nziac.com/arb-med/arb-med-rules" TargetMode="External"/><Relationship Id="rId46" Type="http://schemas.openxmlformats.org/officeDocument/2006/relationships/hyperlink" Target="https://arbitrationblog.kluwerarbitration.com/2013/01/08/enforceability-of-multi-tiered-dispute-resolution-mechanisms-the-singapore-judiciarys-promotion-of-consensus-as-a-cultural-value/" TargetMode="External"/><Relationship Id="rId2" Type="http://schemas.openxmlformats.org/officeDocument/2006/relationships/hyperlink" Target="https://www.fticonsulting.com/insights/reports/international-arbitration-after-pandemic" TargetMode="External"/><Relationship Id="rId16" Type="http://schemas.openxmlformats.org/officeDocument/2006/relationships/hyperlink" Target="https://uncitral.un.org/en/texts/mediation/conventions/international_settlement_agreements/status" TargetMode="External"/><Relationship Id="rId20" Type="http://schemas.openxmlformats.org/officeDocument/2006/relationships/hyperlink" Target="https://resolution.institute/common/Uploaded%20files/Rules%20and%20Regulations/Arbitration%20Rules%202023%20Explanatory-note%20.pdf" TargetMode="External"/><Relationship Id="rId29" Type="http://schemas.openxmlformats.org/officeDocument/2006/relationships/hyperlink" Target="https://www.jcaa.or.jp/en/arbitration/rules.html" TargetMode="External"/><Relationship Id="rId41" Type="http://schemas.openxmlformats.org/officeDocument/2006/relationships/hyperlink" Target="https://arbitration.qmul.ac.uk/media/arbitration/docs/IAstudy_2006.pdf" TargetMode="External"/><Relationship Id="rId54" Type="http://schemas.openxmlformats.org/officeDocument/2006/relationships/hyperlink" Target="https://doi.org/10.1007/s11196-023-10054-7" TargetMode="External"/><Relationship Id="rId1" Type="http://schemas.openxmlformats.org/officeDocument/2006/relationships/hyperlink" Target="https://acica.org.au/wp-content/uploads/2022/11/ACICA_Reflections-WFF1.pdf" TargetMode="External"/><Relationship Id="rId6" Type="http://schemas.openxmlformats.org/officeDocument/2006/relationships/hyperlink" Target="https://japaneselaw.sydney.edu.au/2017/04/book-review-dean-lewis-the-interpretation-and-uniformity-of-the-uncitral-model-law-on-international-commercial-arbitration/" TargetMode="External"/><Relationship Id="rId11" Type="http://schemas.openxmlformats.org/officeDocument/2006/relationships/hyperlink" Target="https://ombudsman.kotra.or.kr/ob-en/index.do" TargetMode="External"/><Relationship Id="rId24" Type="http://schemas.openxmlformats.org/officeDocument/2006/relationships/hyperlink" Target="https://arbitration.qmul.ac.uk/research/" TargetMode="External"/><Relationship Id="rId32" Type="http://schemas.openxmlformats.org/officeDocument/2006/relationships/hyperlink" Target="https://imimediation.org/about/who-are-imi/mixed-mode-task-force/" TargetMode="External"/><Relationship Id="rId37" Type="http://schemas.openxmlformats.org/officeDocument/2006/relationships/hyperlink" Target="https://www.cedr.com/alternative-dispute-resolution-processes/arbitration/" TargetMode="External"/><Relationship Id="rId40" Type="http://schemas.openxmlformats.org/officeDocument/2006/relationships/hyperlink" Target="https://www.oecd.org/investment/internationalinvestmentagreements/publicconsultationisds.htm" TargetMode="External"/><Relationship Id="rId45" Type="http://schemas.openxmlformats.org/officeDocument/2006/relationships/hyperlink" Target="https://arbitrationblog.kluwerarbitration.com/2020/09/05/pioneering-mandatory-investor-state-conciliation-before-arbitration-in-asia-pacific-treaties-ia-cepa-and-hk-uae-bit/" TargetMode="External"/><Relationship Id="rId53" Type="http://schemas.openxmlformats.org/officeDocument/2006/relationships/hyperlink" Target="https://www.supremecourt.nsw.gov.au/about-us/speeches/past-judges.html" TargetMode="External"/><Relationship Id="rId5" Type="http://schemas.openxmlformats.org/officeDocument/2006/relationships/hyperlink" Target="https://admin.aiac.world/uploads/ckupload/ckupload_20230501125726_30.pdf" TargetMode="External"/><Relationship Id="rId15" Type="http://schemas.openxmlformats.org/officeDocument/2006/relationships/hyperlink" Target="https://cicc.court.gov.cn/html/1/219/211/223/index.html" TargetMode="External"/><Relationship Id="rId23" Type="http://schemas.openxmlformats.org/officeDocument/2006/relationships/hyperlink" Target="https://uncitral.un.org/en/texts/arbitration/explanatorytexts/organizing_arbitral_proceedings" TargetMode="External"/><Relationship Id="rId28" Type="http://schemas.openxmlformats.org/officeDocument/2006/relationships/hyperlink" Target="https://praguerules.com/" TargetMode="External"/><Relationship Id="rId36" Type="http://schemas.openxmlformats.org/officeDocument/2006/relationships/hyperlink" Target="https://www.hfw.com/downloads/003245-HFW-Arbitration-Insights-Australia-4-Med-Arb.pdf" TargetMode="External"/><Relationship Id="rId49" Type="http://schemas.openxmlformats.org/officeDocument/2006/relationships/hyperlink" Target="https://hsfnotes.com/arbitration/2023/06/30/milestone-arbitration-judgment-from-hong-kongs-highest-court-brings-greater-certainty-for-commercial-contracts/" TargetMode="External"/><Relationship Id="rId10" Type="http://schemas.openxmlformats.org/officeDocument/2006/relationships/hyperlink" Target="https://investmentpolicy.unctad.org/investment-dispute-settlement" TargetMode="External"/><Relationship Id="rId19" Type="http://schemas.openxmlformats.org/officeDocument/2006/relationships/hyperlink" Target="https://resolution.institute/Web/Web/Public-In-Dispute/Rules-and-Regulations/Rules-and-Regulations.aspx" TargetMode="External"/><Relationship Id="rId31" Type="http://schemas.openxmlformats.org/officeDocument/2006/relationships/hyperlink" Target="https://api.research-repository.uwa.edu.au/ws/portalfiles/portal/9759400/THESIS_DOCTOR_OF_PHILOSOPHY_NIGMATULLINA_Dilyara_2016.PDF" TargetMode="External"/><Relationship Id="rId44" Type="http://schemas.openxmlformats.org/officeDocument/2006/relationships/hyperlink" Target="https://japaneselaw.sydney.edu.au/2021/08/asia-adr-week-2021-session-on-roles-of-in-house-counsel/" TargetMode="External"/><Relationship Id="rId52" Type="http://schemas.openxmlformats.org/officeDocument/2006/relationships/hyperlink" Target="https://disputescentre.com.au/the-supreme-court-of-new-south-wales-adr-address-2022/" TargetMode="External"/><Relationship Id="rId4" Type="http://schemas.openxmlformats.org/officeDocument/2006/relationships/hyperlink" Target="https://www.viac.vn/en/statistics/2022-stattistic-s41.html" TargetMode="External"/><Relationship Id="rId9" Type="http://schemas.openxmlformats.org/officeDocument/2006/relationships/hyperlink" Target="https://icsid.worldbank.org/about/member-states/database-of-member-states" TargetMode="External"/><Relationship Id="rId14" Type="http://schemas.openxmlformats.org/officeDocument/2006/relationships/hyperlink" Target="https://www.sicc.gov.sg/hearings-judgments/judgments" TargetMode="External"/><Relationship Id="rId22" Type="http://schemas.openxmlformats.org/officeDocument/2006/relationships/hyperlink" Target="https://www.wolterskluwer.com/en/solutions/kluwerarbitration/arbitrator-intelligence" TargetMode="External"/><Relationship Id="rId27" Type="http://schemas.openxmlformats.org/officeDocument/2006/relationships/hyperlink" Target="https://ssrn.com/abstract=3926914" TargetMode="External"/><Relationship Id="rId30" Type="http://schemas.openxmlformats.org/officeDocument/2006/relationships/hyperlink" Target="https://www.routledge.com/search?author=Dilyara%20Nigmatullina" TargetMode="External"/><Relationship Id="rId35" Type="http://schemas.openxmlformats.org/officeDocument/2006/relationships/hyperlink" Target="https://www.sicc.gov.sg/docs/default-source/memorandum-of-guidance/lml-mou-factsheet-and-details.pdf" TargetMode="External"/><Relationship Id="rId43" Type="http://schemas.openxmlformats.org/officeDocument/2006/relationships/hyperlink" Target="https://aria.law.columbia.edu/?s=Christian+Buhring-Uhle" TargetMode="External"/><Relationship Id="rId48" Type="http://schemas.openxmlformats.org/officeDocument/2006/relationships/hyperlink" Target="http://www.hklii.org/eng/hk/cases/hkca/2006/305.html" TargetMode="External"/><Relationship Id="rId8" Type="http://schemas.openxmlformats.org/officeDocument/2006/relationships/hyperlink" Target="https://www.adrweek.in/" TargetMode="External"/><Relationship Id="rId51" Type="http://schemas.openxmlformats.org/officeDocument/2006/relationships/hyperlink" Target="https://uncitral.un.org/sites/uncitral.un.org/files/media-documents/uncitral/en/mal-digest-201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DC4D-DD9E-42DA-88A0-CAE7942C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30</Pages>
  <Words>10734</Words>
  <Characters>61188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Nottage</dc:creator>
  <cp:keywords/>
  <dc:description/>
  <cp:lastModifiedBy>Luke Nottage</cp:lastModifiedBy>
  <cp:revision>8</cp:revision>
  <cp:lastPrinted>2023-09-29T03:24:00Z</cp:lastPrinted>
  <dcterms:created xsi:type="dcterms:W3CDTF">2023-10-22T22:02:00Z</dcterms:created>
  <dcterms:modified xsi:type="dcterms:W3CDTF">2023-11-26T23:22:00Z</dcterms:modified>
</cp:coreProperties>
</file>